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14C50">
      <w:pPr>
        <w:autoSpaceDN w:val="0"/>
        <w:snapToGrid w:val="0"/>
        <w:spacing w:line="560" w:lineRule="exact"/>
        <w:ind w:right="-315" w:rightChars="-150" w:firstLine="426" w:firstLineChars="118"/>
        <w:jc w:val="center"/>
        <w:rPr>
          <w:rFonts w:ascii="黑体" w:hAnsi="黑体" w:eastAsia="黑体" w:cs="方正小标宋简体"/>
          <w:b/>
          <w:bCs/>
          <w:sz w:val="36"/>
          <w:szCs w:val="36"/>
        </w:rPr>
      </w:pPr>
    </w:p>
    <w:p w14:paraId="63194B6A">
      <w:pPr>
        <w:autoSpaceDN w:val="0"/>
        <w:snapToGrid w:val="0"/>
        <w:spacing w:line="560" w:lineRule="exact"/>
        <w:ind w:right="-315" w:rightChars="-150"/>
        <w:jc w:val="center"/>
        <w:rPr>
          <w:rFonts w:ascii="黑体" w:hAnsi="黑体" w:eastAsia="黑体" w:cs="方正小标宋简体"/>
          <w:b/>
          <w:bCs/>
          <w:sz w:val="40"/>
          <w:szCs w:val="36"/>
        </w:rPr>
      </w:pPr>
      <w:r>
        <w:rPr>
          <w:rFonts w:hint="eastAsia" w:ascii="黑体" w:hAnsi="黑体" w:eastAsia="黑体" w:cs="方正小标宋简体"/>
          <w:b/>
          <w:bCs/>
          <w:sz w:val="40"/>
          <w:szCs w:val="36"/>
        </w:rPr>
        <w:t>关于举办“软件工程造价师”培训</w:t>
      </w:r>
      <w:r>
        <w:rPr>
          <w:rFonts w:hint="eastAsia" w:ascii="黑体" w:hAnsi="黑体" w:eastAsia="黑体" w:cs="方正小标宋简体"/>
          <w:b/>
          <w:bCs/>
          <w:sz w:val="40"/>
          <w:szCs w:val="36"/>
          <w:lang w:val="en-US" w:eastAsia="zh-CN"/>
        </w:rPr>
        <w:t>班</w:t>
      </w:r>
      <w:r>
        <w:rPr>
          <w:rFonts w:hint="eastAsia" w:ascii="黑体" w:hAnsi="黑体" w:eastAsia="黑体" w:cs="方正小标宋简体"/>
          <w:b/>
          <w:bCs/>
          <w:sz w:val="40"/>
          <w:szCs w:val="36"/>
        </w:rPr>
        <w:t>的通知</w:t>
      </w:r>
    </w:p>
    <w:p w14:paraId="5C6EFDBE">
      <w:pPr>
        <w:autoSpaceDN w:val="0"/>
        <w:snapToGrid w:val="0"/>
        <w:spacing w:line="560" w:lineRule="exact"/>
        <w:ind w:right="-315" w:rightChars="-150" w:firstLine="426" w:firstLineChars="118"/>
        <w:jc w:val="center"/>
        <w:rPr>
          <w:rFonts w:ascii="黑体" w:hAnsi="黑体" w:eastAsia="黑体" w:cs="方正小标宋简体"/>
          <w:b/>
          <w:bCs/>
          <w:sz w:val="36"/>
          <w:szCs w:val="36"/>
        </w:rPr>
      </w:pPr>
    </w:p>
    <w:p w14:paraId="290952DE">
      <w:pPr>
        <w:pStyle w:val="2"/>
        <w:shd w:val="clear" w:color="auto" w:fill="FFFFFF"/>
        <w:spacing w:before="156" w:beforeLines="50" w:beforeAutospacing="0" w:after="0" w:afterAutospacing="0" w:line="360" w:lineRule="auto"/>
        <w:ind w:left="-283" w:leftChars="-135" w:firstLine="640" w:firstLineChars="200"/>
        <w:jc w:val="both"/>
        <w:rPr>
          <w:rFonts w:ascii="仿宋" w:hAnsi="仿宋" w:eastAsia="仿宋" w:cstheme="minorBidi"/>
          <w:kern w:val="2"/>
          <w:sz w:val="32"/>
          <w:szCs w:val="28"/>
        </w:rPr>
      </w:pPr>
      <w:r>
        <w:rPr>
          <w:rFonts w:hint="eastAsia" w:ascii="仿宋" w:hAnsi="仿宋" w:eastAsia="仿宋" w:cstheme="minorBidi"/>
          <w:kern w:val="2"/>
          <w:sz w:val="32"/>
          <w:szCs w:val="28"/>
        </w:rPr>
        <w:t>为规范信息化项目预算编制和造价审核要求，提升信息化服务企事业单位专业人员相关技术能力，依据国标《软件工程软件开发成本度量规范》（GB/T 36964-2018）、工业和信息化部行业标准《软件研发成本度量规范》（SJ/T 11463-2013）等内容，特组织开展“软件工程造价师”培训班。</w:t>
      </w:r>
    </w:p>
    <w:p w14:paraId="65BCD741">
      <w:pPr>
        <w:pStyle w:val="2"/>
        <w:shd w:val="clear" w:color="auto" w:fill="FFFFFF"/>
        <w:spacing w:before="156" w:beforeLines="50" w:beforeAutospacing="0" w:after="0" w:afterAutospacing="0" w:line="360" w:lineRule="auto"/>
        <w:ind w:left="-283" w:leftChars="-135" w:firstLine="640" w:firstLineChars="200"/>
        <w:jc w:val="both"/>
        <w:rPr>
          <w:rFonts w:ascii="仿宋" w:hAnsi="仿宋" w:eastAsia="仿宋" w:cstheme="minorBidi"/>
          <w:kern w:val="2"/>
          <w:sz w:val="32"/>
          <w:szCs w:val="28"/>
        </w:rPr>
      </w:pPr>
      <w:r>
        <w:rPr>
          <w:rFonts w:hint="eastAsia" w:ascii="仿宋" w:hAnsi="仿宋" w:eastAsia="仿宋" w:cstheme="minorBidi"/>
          <w:kern w:val="2"/>
          <w:sz w:val="32"/>
          <w:szCs w:val="28"/>
        </w:rPr>
        <w:t>现将202</w:t>
      </w:r>
      <w:r>
        <w:rPr>
          <w:rFonts w:hint="eastAsia" w:ascii="仿宋" w:hAnsi="仿宋" w:eastAsia="仿宋" w:cstheme="minorBidi"/>
          <w:kern w:val="2"/>
          <w:sz w:val="32"/>
          <w:szCs w:val="28"/>
          <w:lang w:val="en-US" w:eastAsia="zh-CN"/>
        </w:rPr>
        <w:t>6</w:t>
      </w:r>
      <w:r>
        <w:rPr>
          <w:rFonts w:hint="eastAsia" w:ascii="仿宋" w:hAnsi="仿宋" w:eastAsia="仿宋" w:cstheme="minorBidi"/>
          <w:kern w:val="2"/>
          <w:sz w:val="32"/>
          <w:szCs w:val="28"/>
        </w:rPr>
        <w:t>年第</w:t>
      </w:r>
      <w:r>
        <w:rPr>
          <w:rFonts w:hint="eastAsia" w:ascii="仿宋" w:hAnsi="仿宋" w:eastAsia="仿宋" w:cstheme="minorBidi"/>
          <w:kern w:val="2"/>
          <w:sz w:val="32"/>
          <w:szCs w:val="28"/>
          <w:lang w:val="en-US" w:eastAsia="zh-CN"/>
        </w:rPr>
        <w:t>66</w:t>
      </w:r>
      <w:r>
        <w:rPr>
          <w:rFonts w:hint="eastAsia" w:ascii="仿宋" w:hAnsi="仿宋" w:eastAsia="仿宋" w:cstheme="minorBidi"/>
          <w:kern w:val="2"/>
          <w:sz w:val="32"/>
          <w:szCs w:val="28"/>
        </w:rPr>
        <w:t>期（总第</w:t>
      </w:r>
      <w:r>
        <w:rPr>
          <w:rFonts w:hint="eastAsia" w:ascii="仿宋" w:hAnsi="仿宋" w:eastAsia="仿宋" w:cstheme="minorBidi"/>
          <w:kern w:val="2"/>
          <w:sz w:val="32"/>
          <w:szCs w:val="28"/>
          <w:lang w:val="en-US" w:eastAsia="zh-CN"/>
        </w:rPr>
        <w:t>833</w:t>
      </w:r>
      <w:r>
        <w:rPr>
          <w:rFonts w:hint="eastAsia" w:ascii="仿宋" w:hAnsi="仿宋" w:eastAsia="仿宋" w:cstheme="minorBidi"/>
          <w:kern w:val="2"/>
          <w:sz w:val="32"/>
          <w:szCs w:val="28"/>
        </w:rPr>
        <w:t>期）武汉线下公开课有关事宜通知如下：</w:t>
      </w:r>
    </w:p>
    <w:p w14:paraId="189AB2D4">
      <w:pPr>
        <w:numPr>
          <w:ilvl w:val="0"/>
          <w:numId w:val="1"/>
        </w:numPr>
        <w:spacing w:before="156" w:beforeLines="50" w:line="360" w:lineRule="auto"/>
        <w:ind w:firstLine="643" w:firstLineChars="200"/>
        <w:rPr>
          <w:rFonts w:ascii="仿宋" w:hAnsi="仿宋" w:eastAsia="仿宋"/>
          <w:b/>
          <w:sz w:val="32"/>
          <w:szCs w:val="28"/>
        </w:rPr>
      </w:pPr>
      <w:r>
        <w:rPr>
          <w:rFonts w:hint="eastAsia" w:ascii="仿宋" w:hAnsi="仿宋" w:eastAsia="仿宋"/>
          <w:b/>
          <w:sz w:val="32"/>
          <w:szCs w:val="28"/>
        </w:rPr>
        <w:t>培训时间</w:t>
      </w:r>
    </w:p>
    <w:p w14:paraId="01CB3D2C">
      <w:pPr>
        <w:spacing w:before="156" w:beforeLines="50" w:line="360" w:lineRule="auto"/>
        <w:ind w:firstLine="640" w:firstLineChars="200"/>
        <w:rPr>
          <w:rFonts w:ascii="仿宋" w:hAnsi="仿宋" w:eastAsia="仿宋"/>
          <w:sz w:val="32"/>
          <w:szCs w:val="28"/>
        </w:rPr>
      </w:pPr>
      <w:r>
        <w:rPr>
          <w:rFonts w:hint="eastAsia" w:ascii="仿宋" w:hAnsi="仿宋" w:eastAsia="仿宋"/>
          <w:sz w:val="32"/>
          <w:szCs w:val="28"/>
        </w:rPr>
        <w:t>培训时间：202</w:t>
      </w:r>
      <w:r>
        <w:rPr>
          <w:rFonts w:hint="eastAsia" w:ascii="仿宋" w:hAnsi="仿宋" w:eastAsia="仿宋"/>
          <w:sz w:val="32"/>
          <w:szCs w:val="28"/>
          <w:lang w:val="en-US" w:eastAsia="zh-CN"/>
        </w:rPr>
        <w:t>6</w:t>
      </w:r>
      <w:r>
        <w:rPr>
          <w:rFonts w:hint="eastAsia" w:ascii="仿宋" w:hAnsi="仿宋" w:eastAsia="仿宋"/>
          <w:sz w:val="32"/>
          <w:szCs w:val="28"/>
        </w:rPr>
        <w:t>年</w:t>
      </w:r>
      <w:r>
        <w:rPr>
          <w:rFonts w:hint="eastAsia" w:ascii="仿宋" w:hAnsi="仿宋" w:eastAsia="仿宋"/>
          <w:sz w:val="32"/>
          <w:szCs w:val="28"/>
          <w:lang w:val="en-US" w:eastAsia="zh-CN"/>
        </w:rPr>
        <w:t>10</w:t>
      </w:r>
      <w:r>
        <w:rPr>
          <w:rFonts w:hint="eastAsia" w:ascii="仿宋" w:hAnsi="仿宋" w:eastAsia="仿宋"/>
          <w:sz w:val="32"/>
          <w:szCs w:val="28"/>
        </w:rPr>
        <w:t>月</w:t>
      </w:r>
      <w:r>
        <w:rPr>
          <w:rFonts w:hint="eastAsia" w:ascii="仿宋" w:hAnsi="仿宋" w:eastAsia="仿宋"/>
          <w:sz w:val="32"/>
          <w:szCs w:val="28"/>
          <w:lang w:val="en-US" w:eastAsia="zh-CN"/>
        </w:rPr>
        <w:t>23</w:t>
      </w:r>
      <w:r>
        <w:rPr>
          <w:rFonts w:hint="eastAsia" w:ascii="仿宋" w:hAnsi="仿宋" w:eastAsia="仿宋"/>
          <w:sz w:val="32"/>
          <w:szCs w:val="28"/>
        </w:rPr>
        <w:t>日</w:t>
      </w:r>
      <w:r>
        <w:rPr>
          <w:rFonts w:ascii="仿宋" w:hAnsi="仿宋" w:eastAsia="仿宋"/>
          <w:sz w:val="32"/>
          <w:szCs w:val="28"/>
        </w:rPr>
        <w:t>-202</w:t>
      </w:r>
      <w:r>
        <w:rPr>
          <w:rFonts w:hint="eastAsia" w:ascii="仿宋" w:hAnsi="仿宋" w:eastAsia="仿宋"/>
          <w:sz w:val="32"/>
          <w:szCs w:val="28"/>
          <w:lang w:val="en-US" w:eastAsia="zh-CN"/>
        </w:rPr>
        <w:t>6</w:t>
      </w:r>
      <w:r>
        <w:rPr>
          <w:rFonts w:ascii="仿宋" w:hAnsi="仿宋" w:eastAsia="仿宋"/>
          <w:sz w:val="32"/>
          <w:szCs w:val="28"/>
        </w:rPr>
        <w:t>年</w:t>
      </w:r>
      <w:r>
        <w:rPr>
          <w:rFonts w:hint="eastAsia" w:ascii="仿宋" w:hAnsi="仿宋" w:eastAsia="仿宋"/>
          <w:sz w:val="32"/>
          <w:szCs w:val="28"/>
          <w:lang w:val="en-US" w:eastAsia="zh-CN"/>
        </w:rPr>
        <w:t>10</w:t>
      </w:r>
      <w:r>
        <w:rPr>
          <w:rFonts w:ascii="仿宋" w:hAnsi="仿宋" w:eastAsia="仿宋"/>
          <w:sz w:val="32"/>
          <w:szCs w:val="28"/>
        </w:rPr>
        <w:t>月</w:t>
      </w:r>
      <w:r>
        <w:rPr>
          <w:rFonts w:hint="eastAsia" w:ascii="仿宋" w:hAnsi="仿宋" w:eastAsia="仿宋"/>
          <w:sz w:val="32"/>
          <w:szCs w:val="28"/>
          <w:lang w:val="en-US" w:eastAsia="zh-CN"/>
        </w:rPr>
        <w:t>25</w:t>
      </w:r>
      <w:r>
        <w:rPr>
          <w:rFonts w:ascii="仿宋" w:hAnsi="仿宋" w:eastAsia="仿宋"/>
          <w:sz w:val="32"/>
          <w:szCs w:val="28"/>
        </w:rPr>
        <w:t>日</w:t>
      </w:r>
    </w:p>
    <w:p w14:paraId="6CF65F67">
      <w:pPr>
        <w:spacing w:before="156" w:beforeLines="50" w:line="360" w:lineRule="auto"/>
        <w:ind w:firstLine="640" w:firstLineChars="200"/>
        <w:rPr>
          <w:rFonts w:ascii="仿宋" w:hAnsi="仿宋" w:eastAsia="仿宋"/>
          <w:sz w:val="32"/>
          <w:szCs w:val="28"/>
        </w:rPr>
      </w:pPr>
      <w:r>
        <w:rPr>
          <w:rFonts w:ascii="仿宋" w:hAnsi="仿宋" w:eastAsia="仿宋"/>
          <w:sz w:val="32"/>
          <w:szCs w:val="28"/>
        </w:rPr>
        <w:t>上课时间</w:t>
      </w:r>
      <w:r>
        <w:rPr>
          <w:rFonts w:hint="eastAsia" w:ascii="仿宋" w:hAnsi="仿宋" w:eastAsia="仿宋"/>
          <w:sz w:val="32"/>
          <w:szCs w:val="28"/>
        </w:rPr>
        <w:t>:</w:t>
      </w:r>
      <w:r>
        <w:rPr>
          <w:rFonts w:ascii="仿宋" w:hAnsi="仿宋" w:eastAsia="仿宋"/>
          <w:sz w:val="32"/>
          <w:szCs w:val="28"/>
        </w:rPr>
        <w:t xml:space="preserve"> 上午</w:t>
      </w:r>
      <w:r>
        <w:rPr>
          <w:rFonts w:hint="eastAsia" w:ascii="仿宋" w:hAnsi="仿宋" w:eastAsia="仿宋"/>
          <w:sz w:val="32"/>
          <w:szCs w:val="28"/>
        </w:rPr>
        <w:t>9:</w:t>
      </w:r>
      <w:r>
        <w:rPr>
          <w:rFonts w:ascii="仿宋" w:hAnsi="仿宋" w:eastAsia="仿宋"/>
          <w:sz w:val="32"/>
          <w:szCs w:val="28"/>
        </w:rPr>
        <w:t>00-12:00   下午</w:t>
      </w:r>
      <w:r>
        <w:rPr>
          <w:rFonts w:hint="eastAsia" w:ascii="仿宋" w:hAnsi="仿宋" w:eastAsia="仿宋"/>
          <w:sz w:val="32"/>
          <w:szCs w:val="28"/>
        </w:rPr>
        <w:t>1:</w:t>
      </w:r>
      <w:r>
        <w:rPr>
          <w:rFonts w:ascii="仿宋" w:hAnsi="仿宋" w:eastAsia="仿宋"/>
          <w:sz w:val="32"/>
          <w:szCs w:val="28"/>
        </w:rPr>
        <w:t>30-5:00</w:t>
      </w:r>
    </w:p>
    <w:p w14:paraId="42B6E8E2">
      <w:pPr>
        <w:spacing w:before="156" w:beforeLines="50" w:line="360" w:lineRule="auto"/>
        <w:ind w:left="2230" w:leftChars="300" w:hanging="1600" w:hangingChars="500"/>
        <w:rPr>
          <w:rFonts w:hint="eastAsia" w:ascii="仿宋" w:hAnsi="仿宋" w:eastAsia="仿宋"/>
          <w:sz w:val="32"/>
          <w:szCs w:val="28"/>
        </w:rPr>
      </w:pPr>
      <w:r>
        <w:rPr>
          <w:rFonts w:hint="eastAsia" w:ascii="仿宋" w:hAnsi="仿宋" w:eastAsia="仿宋"/>
          <w:sz w:val="32"/>
          <w:szCs w:val="28"/>
        </w:rPr>
        <w:t>上课地点：武汉市</w:t>
      </w:r>
    </w:p>
    <w:p w14:paraId="7E10F73F">
      <w:pPr>
        <w:spacing w:before="156" w:beforeLines="50" w:line="360" w:lineRule="auto"/>
        <w:ind w:left="2236" w:leftChars="300" w:hanging="1606" w:hangingChars="500"/>
        <w:rPr>
          <w:rFonts w:ascii="仿宋" w:hAnsi="仿宋" w:eastAsia="仿宋"/>
          <w:b/>
          <w:sz w:val="32"/>
          <w:szCs w:val="28"/>
        </w:rPr>
      </w:pPr>
      <w:r>
        <w:rPr>
          <w:rFonts w:hint="eastAsia" w:ascii="仿宋" w:hAnsi="仿宋" w:eastAsia="仿宋"/>
          <w:b/>
          <w:sz w:val="32"/>
          <w:szCs w:val="28"/>
          <w:lang w:val="en-US" w:eastAsia="zh-CN"/>
        </w:rPr>
        <w:t>二、</w:t>
      </w:r>
      <w:r>
        <w:rPr>
          <w:rFonts w:hint="eastAsia" w:ascii="仿宋" w:hAnsi="仿宋" w:eastAsia="仿宋"/>
          <w:b/>
          <w:sz w:val="32"/>
          <w:szCs w:val="28"/>
        </w:rPr>
        <w:t>培训对象</w:t>
      </w:r>
    </w:p>
    <w:p w14:paraId="6BEA2139">
      <w:pPr>
        <w:spacing w:before="156" w:beforeLines="50" w:line="360" w:lineRule="auto"/>
        <w:ind w:firstLine="640" w:firstLineChars="200"/>
        <w:rPr>
          <w:rFonts w:ascii="仿宋" w:hAnsi="仿宋" w:eastAsia="仿宋"/>
          <w:sz w:val="32"/>
          <w:szCs w:val="28"/>
        </w:rPr>
      </w:pPr>
      <w:r>
        <w:rPr>
          <w:rFonts w:hint="eastAsia" w:ascii="仿宋" w:hAnsi="仿宋" w:eastAsia="仿宋"/>
          <w:sz w:val="32"/>
          <w:szCs w:val="28"/>
        </w:rPr>
        <w:t>本课程适合信息化企事业单位以及第三方服务机构相关人员，如：项目预算申报/审查人员、项目管理人员、审计人员、招投标人员、采购人员、财务人员、业务需求分析人员、项目管理人员、造价人员等。</w:t>
      </w:r>
    </w:p>
    <w:p w14:paraId="100972EF">
      <w:pPr>
        <w:numPr>
          <w:ilvl w:val="0"/>
          <w:numId w:val="0"/>
        </w:numPr>
        <w:spacing w:before="156" w:beforeLines="50" w:line="360" w:lineRule="auto"/>
        <w:ind w:firstLine="643" w:firstLineChars="200"/>
        <w:rPr>
          <w:rFonts w:ascii="仿宋" w:hAnsi="仿宋" w:eastAsia="仿宋"/>
          <w:b/>
          <w:sz w:val="32"/>
          <w:szCs w:val="28"/>
        </w:rPr>
      </w:pPr>
      <w:r>
        <w:rPr>
          <w:rFonts w:hint="eastAsia" w:ascii="仿宋" w:hAnsi="仿宋" w:eastAsia="仿宋"/>
          <w:b/>
          <w:sz w:val="32"/>
          <w:szCs w:val="28"/>
          <w:lang w:val="en-US" w:eastAsia="zh-CN"/>
        </w:rPr>
        <w:t>三、</w:t>
      </w:r>
      <w:r>
        <w:rPr>
          <w:rFonts w:hint="eastAsia" w:ascii="仿宋" w:hAnsi="仿宋" w:eastAsia="仿宋"/>
          <w:b/>
          <w:sz w:val="32"/>
          <w:szCs w:val="28"/>
        </w:rPr>
        <w:t>培</w:t>
      </w:r>
      <w:r>
        <w:rPr>
          <w:rFonts w:ascii="仿宋" w:hAnsi="仿宋" w:eastAsia="仿宋"/>
          <w:b/>
          <w:sz w:val="32"/>
          <w:szCs w:val="28"/>
        </w:rPr>
        <w:t>训目标</w:t>
      </w:r>
    </w:p>
    <w:p w14:paraId="558AEB9A">
      <w:pPr>
        <w:pStyle w:val="2"/>
        <w:numPr>
          <w:ilvl w:val="0"/>
          <w:numId w:val="2"/>
        </w:numPr>
        <w:shd w:val="clear" w:color="auto" w:fill="FFFFFF"/>
        <w:spacing w:before="156" w:beforeLines="50" w:beforeAutospacing="0" w:after="0" w:afterAutospacing="0" w:line="360" w:lineRule="auto"/>
        <w:ind w:firstLine="640" w:firstLineChars="200"/>
        <w:jc w:val="both"/>
        <w:rPr>
          <w:rFonts w:ascii="仿宋" w:hAnsi="仿宋" w:eastAsia="仿宋" w:cstheme="minorBidi"/>
          <w:kern w:val="2"/>
          <w:sz w:val="32"/>
          <w:szCs w:val="28"/>
        </w:rPr>
      </w:pPr>
      <w:r>
        <w:rPr>
          <w:rFonts w:hint="eastAsia" w:ascii="仿宋" w:hAnsi="仿宋" w:eastAsia="仿宋" w:cstheme="minorBidi"/>
          <w:kern w:val="2"/>
          <w:sz w:val="32"/>
          <w:szCs w:val="28"/>
        </w:rPr>
        <w:t>了解标准所规定的软件开发成本构成及其估算方法、过程和原则。</w:t>
      </w:r>
    </w:p>
    <w:p w14:paraId="4D7D564D">
      <w:pPr>
        <w:pStyle w:val="2"/>
        <w:numPr>
          <w:ilvl w:val="0"/>
          <w:numId w:val="2"/>
        </w:numPr>
        <w:shd w:val="clear" w:color="auto" w:fill="FFFFFF"/>
        <w:spacing w:before="156" w:beforeLines="50" w:beforeAutospacing="0" w:after="0" w:afterAutospacing="0" w:line="360" w:lineRule="auto"/>
        <w:ind w:firstLine="640" w:firstLineChars="200"/>
        <w:jc w:val="both"/>
        <w:rPr>
          <w:rFonts w:ascii="仿宋" w:hAnsi="仿宋" w:eastAsia="仿宋" w:cstheme="minorBidi"/>
          <w:kern w:val="2"/>
          <w:sz w:val="32"/>
          <w:szCs w:val="28"/>
        </w:rPr>
      </w:pPr>
      <w:r>
        <w:rPr>
          <w:rFonts w:hint="eastAsia" w:ascii="仿宋" w:hAnsi="仿宋" w:eastAsia="仿宋" w:cstheme="minorBidi"/>
          <w:kern w:val="2"/>
          <w:sz w:val="32"/>
          <w:szCs w:val="28"/>
        </w:rPr>
        <w:t>能够使用国际标准（快速）功能点方法，针对不同应用场景，合理估算软件规模，有效管理项目范围。</w:t>
      </w:r>
    </w:p>
    <w:p w14:paraId="5C649C44">
      <w:pPr>
        <w:pStyle w:val="2"/>
        <w:numPr>
          <w:ilvl w:val="0"/>
          <w:numId w:val="2"/>
        </w:numPr>
        <w:shd w:val="clear" w:color="auto" w:fill="FFFFFF"/>
        <w:spacing w:before="156" w:beforeLines="50" w:beforeAutospacing="0" w:after="0" w:afterAutospacing="0" w:line="360" w:lineRule="auto"/>
        <w:ind w:firstLine="640" w:firstLineChars="200"/>
        <w:jc w:val="both"/>
        <w:rPr>
          <w:rFonts w:ascii="仿宋" w:hAnsi="仿宋" w:eastAsia="仿宋" w:cstheme="minorBidi"/>
          <w:kern w:val="2"/>
          <w:sz w:val="32"/>
          <w:szCs w:val="28"/>
        </w:rPr>
      </w:pPr>
      <w:r>
        <w:rPr>
          <w:rFonts w:hint="eastAsia" w:ascii="仿宋" w:hAnsi="仿宋" w:eastAsia="仿宋" w:cstheme="minorBidi"/>
          <w:kern w:val="2"/>
          <w:sz w:val="32"/>
          <w:szCs w:val="28"/>
        </w:rPr>
        <w:t>掌握利用基准数据，并使用多种方法（方程法/类比法/类推法），对软件项目的工作量、工期、成本进行科学估算及交叉验证的要点及技巧。</w:t>
      </w:r>
    </w:p>
    <w:p w14:paraId="1ACBC3CF">
      <w:pPr>
        <w:numPr>
          <w:ilvl w:val="0"/>
          <w:numId w:val="0"/>
        </w:numPr>
        <w:spacing w:before="156" w:beforeLines="50" w:line="360" w:lineRule="auto"/>
        <w:ind w:firstLine="643" w:firstLineChars="200"/>
        <w:rPr>
          <w:rFonts w:ascii="仿宋" w:hAnsi="仿宋" w:eastAsia="仿宋"/>
          <w:b/>
          <w:sz w:val="32"/>
          <w:szCs w:val="28"/>
        </w:rPr>
      </w:pPr>
      <w:r>
        <w:rPr>
          <w:rFonts w:hint="eastAsia" w:ascii="仿宋" w:hAnsi="仿宋" w:eastAsia="仿宋"/>
          <w:b/>
          <w:sz w:val="32"/>
          <w:szCs w:val="28"/>
          <w:lang w:val="en-US" w:eastAsia="zh-CN"/>
        </w:rPr>
        <w:t>四、</w:t>
      </w:r>
      <w:r>
        <w:rPr>
          <w:rFonts w:hint="eastAsia" w:ascii="仿宋" w:hAnsi="仿宋" w:eastAsia="仿宋"/>
          <w:b/>
          <w:sz w:val="32"/>
          <w:szCs w:val="28"/>
        </w:rPr>
        <w:t>颁发证书</w:t>
      </w:r>
    </w:p>
    <w:p w14:paraId="16238D48">
      <w:pPr>
        <w:spacing w:before="156" w:beforeLines="50" w:line="360" w:lineRule="auto"/>
        <w:ind w:firstLine="640" w:firstLineChars="200"/>
        <w:rPr>
          <w:rFonts w:ascii="仿宋" w:hAnsi="仿宋" w:eastAsia="仿宋"/>
          <w:sz w:val="32"/>
          <w:szCs w:val="28"/>
        </w:rPr>
      </w:pPr>
      <w:r>
        <w:rPr>
          <w:rFonts w:hint="eastAsia" w:ascii="仿宋" w:hAnsi="仿宋" w:eastAsia="仿宋"/>
          <w:sz w:val="32"/>
          <w:szCs w:val="28"/>
        </w:rPr>
        <w:t>本课程被纳入到工业和信息化人才培养工程课程体系，考试合格者将获得工业和信息化部教育考试中心颁发软件工程造价证书（制证周期约</w:t>
      </w:r>
      <w:r>
        <w:rPr>
          <w:rFonts w:ascii="仿宋" w:hAnsi="仿宋" w:eastAsia="仿宋"/>
          <w:sz w:val="32"/>
          <w:szCs w:val="28"/>
        </w:rPr>
        <w:t>7</w:t>
      </w:r>
      <w:r>
        <w:rPr>
          <w:rFonts w:hint="eastAsia" w:ascii="仿宋" w:hAnsi="仿宋" w:eastAsia="仿宋"/>
          <w:sz w:val="32"/>
          <w:szCs w:val="28"/>
        </w:rPr>
        <w:t>0天）和北京</w:t>
      </w:r>
      <w:bookmarkStart w:id="0" w:name="_GoBack"/>
      <w:bookmarkEnd w:id="0"/>
      <w:r>
        <w:rPr>
          <w:rFonts w:hint="eastAsia" w:ascii="仿宋" w:hAnsi="仿宋" w:eastAsia="仿宋"/>
          <w:sz w:val="32"/>
          <w:szCs w:val="28"/>
        </w:rPr>
        <w:t>软件造价评估技术创新联盟颁发“软件工程造价师”证书（</w:t>
      </w:r>
      <w:r>
        <w:rPr>
          <w:rFonts w:hint="eastAsia" w:ascii="仿宋" w:hAnsi="仿宋" w:eastAsia="仿宋"/>
          <w:sz w:val="32"/>
          <w:szCs w:val="28"/>
          <w:lang w:val="en-US" w:eastAsia="zh-CN"/>
        </w:rPr>
        <w:t>电子版</w:t>
      </w:r>
      <w:r>
        <w:rPr>
          <w:rFonts w:hint="eastAsia" w:ascii="仿宋" w:hAnsi="仿宋" w:eastAsia="仿宋"/>
          <w:sz w:val="32"/>
          <w:szCs w:val="28"/>
        </w:rPr>
        <w:t>）。</w:t>
      </w:r>
    </w:p>
    <w:p w14:paraId="6CEFB5A8">
      <w:pPr>
        <w:numPr>
          <w:ilvl w:val="0"/>
          <w:numId w:val="0"/>
        </w:numPr>
        <w:spacing w:before="156" w:beforeLines="50" w:line="360" w:lineRule="auto"/>
        <w:ind w:firstLine="643" w:firstLineChars="200"/>
        <w:rPr>
          <w:rFonts w:ascii="仿宋" w:hAnsi="仿宋" w:eastAsia="仿宋"/>
          <w:b/>
          <w:sz w:val="32"/>
          <w:szCs w:val="28"/>
        </w:rPr>
      </w:pPr>
      <w:r>
        <w:rPr>
          <w:rFonts w:hint="eastAsia" w:ascii="仿宋" w:hAnsi="仿宋" w:eastAsia="仿宋"/>
          <w:b/>
          <w:sz w:val="32"/>
          <w:szCs w:val="28"/>
          <w:lang w:val="en-US" w:eastAsia="zh-CN"/>
        </w:rPr>
        <w:t>五、</w:t>
      </w:r>
      <w:r>
        <w:rPr>
          <w:rFonts w:hint="eastAsia" w:ascii="仿宋" w:hAnsi="仿宋" w:eastAsia="仿宋"/>
          <w:b/>
          <w:sz w:val="32"/>
          <w:szCs w:val="28"/>
        </w:rPr>
        <w:t>组织机构</w:t>
      </w:r>
    </w:p>
    <w:p w14:paraId="4318D834">
      <w:pPr>
        <w:spacing w:before="156" w:beforeLines="50" w:line="360" w:lineRule="auto"/>
        <w:ind w:firstLine="640" w:firstLineChars="200"/>
        <w:rPr>
          <w:rFonts w:ascii="仿宋" w:hAnsi="仿宋" w:eastAsia="仿宋"/>
          <w:sz w:val="32"/>
          <w:szCs w:val="28"/>
        </w:rPr>
      </w:pPr>
      <w:r>
        <w:rPr>
          <w:rFonts w:hint="eastAsia" w:ascii="仿宋" w:hAnsi="仿宋" w:eastAsia="仿宋"/>
          <w:sz w:val="32"/>
          <w:szCs w:val="28"/>
        </w:rPr>
        <w:t>发证单位：工业和信息化部教育与考试中心</w:t>
      </w:r>
    </w:p>
    <w:p w14:paraId="2B2B2B91">
      <w:pPr>
        <w:spacing w:before="156" w:beforeLines="50" w:line="360" w:lineRule="auto"/>
        <w:ind w:firstLine="640" w:firstLineChars="200"/>
        <w:rPr>
          <w:rFonts w:ascii="仿宋" w:hAnsi="仿宋" w:eastAsia="仿宋"/>
          <w:sz w:val="32"/>
          <w:szCs w:val="28"/>
        </w:rPr>
      </w:pPr>
      <w:r>
        <w:rPr>
          <w:rFonts w:hint="eastAsia" w:ascii="仿宋" w:hAnsi="仿宋" w:eastAsia="仿宋"/>
          <w:sz w:val="32"/>
          <w:szCs w:val="28"/>
        </w:rPr>
        <w:t xml:space="preserve"> </w:t>
      </w:r>
      <w:r>
        <w:rPr>
          <w:rFonts w:ascii="仿宋" w:hAnsi="仿宋" w:eastAsia="仿宋"/>
          <w:sz w:val="32"/>
          <w:szCs w:val="28"/>
        </w:rPr>
        <w:t xml:space="preserve">         </w:t>
      </w:r>
      <w:r>
        <w:rPr>
          <w:rFonts w:hint="eastAsia" w:ascii="仿宋" w:hAnsi="仿宋" w:eastAsia="仿宋"/>
          <w:sz w:val="32"/>
          <w:szCs w:val="28"/>
        </w:rPr>
        <w:t>北京软件造价评估技术创新联盟</w:t>
      </w:r>
    </w:p>
    <w:p w14:paraId="32332A00">
      <w:pPr>
        <w:numPr>
          <w:ilvl w:val="0"/>
          <w:numId w:val="0"/>
        </w:numPr>
        <w:spacing w:before="156" w:beforeLines="50" w:line="360" w:lineRule="auto"/>
        <w:ind w:firstLine="643" w:firstLineChars="200"/>
        <w:rPr>
          <w:rFonts w:hint="default" w:ascii="仿宋" w:hAnsi="仿宋" w:eastAsia="仿宋"/>
          <w:b/>
          <w:sz w:val="32"/>
          <w:szCs w:val="28"/>
          <w:lang w:val="en-US"/>
        </w:rPr>
      </w:pPr>
      <w:r>
        <w:rPr>
          <w:rFonts w:hint="eastAsia" w:ascii="仿宋" w:hAnsi="仿宋" w:eastAsia="仿宋"/>
          <w:b/>
          <w:sz w:val="32"/>
          <w:szCs w:val="28"/>
          <w:lang w:val="en-US" w:eastAsia="zh-CN"/>
        </w:rPr>
        <w:t>六、咨询联系</w:t>
      </w:r>
    </w:p>
    <w:p w14:paraId="2491EF6E">
      <w:pPr>
        <w:spacing w:before="156" w:beforeLines="50" w:line="360" w:lineRule="auto"/>
        <w:ind w:firstLine="640" w:firstLineChars="200"/>
        <w:rPr>
          <w:rFonts w:hint="eastAsia" w:ascii="仿宋" w:hAnsi="仿宋" w:eastAsia="仿宋"/>
          <w:sz w:val="32"/>
          <w:szCs w:val="28"/>
          <w:lang w:val="en-US" w:eastAsia="zh-CN"/>
        </w:rPr>
      </w:pPr>
      <w:r>
        <w:rPr>
          <w:rFonts w:hint="eastAsia" w:ascii="仿宋" w:hAnsi="仿宋" w:eastAsia="仿宋"/>
          <w:sz w:val="32"/>
          <w:szCs w:val="28"/>
          <w:lang w:val="en-US" w:eastAsia="zh-CN"/>
        </w:rPr>
        <w:t xml:space="preserve">联系人：杨薇 </w:t>
      </w:r>
    </w:p>
    <w:p w14:paraId="38282212">
      <w:pPr>
        <w:spacing w:before="156" w:beforeLines="50" w:line="360" w:lineRule="auto"/>
        <w:ind w:firstLine="640" w:firstLineChars="200"/>
        <w:rPr>
          <w:rFonts w:hint="default" w:ascii="仿宋" w:hAnsi="仿宋" w:eastAsia="仿宋"/>
          <w:sz w:val="32"/>
          <w:szCs w:val="28"/>
          <w:lang w:val="en-US"/>
        </w:rPr>
      </w:pPr>
      <w:r>
        <w:rPr>
          <w:rFonts w:hint="eastAsia" w:ascii="仿宋" w:hAnsi="仿宋" w:eastAsia="仿宋"/>
          <w:sz w:val="32"/>
          <w:szCs w:val="28"/>
          <w:lang w:val="en-US" w:eastAsia="zh-CN"/>
        </w:rPr>
        <w:t>电话： 027-87181967转811、18971100512</w:t>
      </w:r>
    </w:p>
    <w:p w14:paraId="7B86E89B">
      <w:pPr>
        <w:spacing w:before="156" w:beforeLines="50" w:line="360" w:lineRule="auto"/>
        <w:ind w:firstLine="640" w:firstLineChars="200"/>
        <w:rPr>
          <w:rFonts w:ascii="仿宋" w:hAnsi="仿宋" w:eastAsia="仿宋"/>
          <w:sz w:val="32"/>
          <w:szCs w:val="28"/>
        </w:rPr>
      </w:pPr>
    </w:p>
    <w:p w14:paraId="2A33A149">
      <w:pPr>
        <w:spacing w:before="156" w:beforeLines="50" w:line="360" w:lineRule="auto"/>
        <w:ind w:firstLine="640" w:firstLineChars="200"/>
        <w:rPr>
          <w:rFonts w:ascii="仿宋" w:hAnsi="仿宋" w:eastAsia="仿宋"/>
          <w:sz w:val="32"/>
          <w:szCs w:val="28"/>
        </w:rPr>
      </w:pPr>
    </w:p>
    <w:p w14:paraId="19BF3E07">
      <w:pPr>
        <w:spacing w:before="156" w:beforeLines="50" w:line="360" w:lineRule="auto"/>
        <w:jc w:val="center"/>
        <w:rPr>
          <w:rFonts w:hint="default" w:ascii="仿宋" w:hAnsi="仿宋" w:eastAsia="仿宋"/>
          <w:sz w:val="32"/>
          <w:szCs w:val="28"/>
          <w:lang w:val="en-US" w:eastAsia="zh-CN"/>
        </w:rPr>
      </w:pPr>
      <w:r>
        <w:rPr>
          <w:rFonts w:hint="eastAsia" w:ascii="仿宋" w:hAnsi="仿宋" w:eastAsia="仿宋"/>
          <w:sz w:val="32"/>
          <w:szCs w:val="28"/>
          <w:lang w:val="en-US" w:eastAsia="zh-CN"/>
        </w:rPr>
        <w:t xml:space="preserve">                          </w:t>
      </w:r>
      <w:r>
        <w:rPr>
          <w:rFonts w:hint="eastAsia" w:ascii="仿宋" w:hAnsi="仿宋" w:eastAsia="仿宋"/>
          <w:sz w:val="32"/>
          <w:szCs w:val="28"/>
        </w:rPr>
        <w:t>武汉</w:t>
      </w:r>
      <w:r>
        <w:rPr>
          <w:rFonts w:hint="eastAsia" w:ascii="仿宋" w:hAnsi="仿宋" w:eastAsia="仿宋"/>
          <w:sz w:val="32"/>
          <w:szCs w:val="28"/>
          <w:lang w:val="en-US" w:eastAsia="zh-CN"/>
        </w:rPr>
        <w:t>市软件行业协会</w:t>
      </w:r>
    </w:p>
    <w:p w14:paraId="26331021">
      <w:pPr>
        <w:spacing w:line="360" w:lineRule="auto"/>
        <w:ind w:right="640"/>
        <w:jc w:val="right"/>
        <w:rPr>
          <w:rFonts w:ascii="仿宋" w:hAnsi="仿宋" w:eastAsia="仿宋"/>
          <w:sz w:val="32"/>
          <w:szCs w:val="28"/>
        </w:rPr>
      </w:pPr>
      <w:r>
        <w:rPr>
          <w:rFonts w:hint="eastAsia" w:ascii="仿宋" w:hAnsi="仿宋" w:eastAsia="仿宋"/>
          <w:sz w:val="32"/>
          <w:szCs w:val="28"/>
          <w:lang w:val="en-US" w:eastAsia="zh-CN"/>
        </w:rPr>
        <w:t xml:space="preserve"> </w:t>
      </w:r>
      <w:r>
        <w:rPr>
          <w:rFonts w:ascii="仿宋" w:hAnsi="仿宋" w:eastAsia="仿宋"/>
          <w:sz w:val="32"/>
          <w:szCs w:val="28"/>
        </w:rPr>
        <w:t>20</w:t>
      </w:r>
      <w:r>
        <w:rPr>
          <w:rFonts w:hint="eastAsia" w:ascii="仿宋" w:hAnsi="仿宋" w:eastAsia="仿宋"/>
          <w:sz w:val="32"/>
          <w:szCs w:val="28"/>
        </w:rPr>
        <w:t>2</w:t>
      </w:r>
      <w:r>
        <w:rPr>
          <w:rFonts w:hint="default" w:ascii="仿宋" w:hAnsi="仿宋" w:eastAsia="仿宋"/>
          <w:sz w:val="32"/>
          <w:szCs w:val="28"/>
          <w:lang w:val="en-US" w:eastAsia="zh-CN"/>
        </w:rPr>
        <w:t>6</w:t>
      </w:r>
      <w:r>
        <w:rPr>
          <w:rFonts w:ascii="仿宋" w:hAnsi="仿宋" w:eastAsia="仿宋"/>
          <w:sz w:val="32"/>
          <w:szCs w:val="28"/>
        </w:rPr>
        <w:t>年</w:t>
      </w:r>
      <w:r>
        <w:rPr>
          <w:rFonts w:hint="eastAsia" w:ascii="仿宋" w:hAnsi="仿宋" w:eastAsia="仿宋"/>
          <w:sz w:val="32"/>
          <w:szCs w:val="28"/>
          <w:lang w:val="en-US" w:eastAsia="zh-CN"/>
        </w:rPr>
        <w:t>9</w:t>
      </w:r>
      <w:r>
        <w:rPr>
          <w:rFonts w:ascii="仿宋" w:hAnsi="仿宋" w:eastAsia="仿宋"/>
          <w:sz w:val="32"/>
          <w:szCs w:val="28"/>
        </w:rPr>
        <w:t>月</w:t>
      </w:r>
      <w:r>
        <w:rPr>
          <w:rFonts w:hint="eastAsia" w:ascii="仿宋" w:hAnsi="仿宋" w:eastAsia="仿宋"/>
          <w:sz w:val="32"/>
          <w:szCs w:val="28"/>
          <w:lang w:val="en-US" w:eastAsia="zh-CN"/>
        </w:rPr>
        <w:t>16</w:t>
      </w:r>
      <w:r>
        <w:rPr>
          <w:rFonts w:ascii="仿宋" w:hAnsi="仿宋" w:eastAsia="仿宋"/>
          <w:sz w:val="32"/>
          <w:szCs w:val="28"/>
        </w:rPr>
        <w:t>日</w:t>
      </w:r>
    </w:p>
    <w:p w14:paraId="0FFE8653">
      <w:pPr>
        <w:spacing w:line="360" w:lineRule="auto"/>
        <w:ind w:right="560"/>
        <w:jc w:val="right"/>
        <w:rPr>
          <w:rFonts w:ascii="仿宋" w:hAnsi="仿宋" w:eastAsia="仿宋"/>
          <w:sz w:val="28"/>
          <w:szCs w:val="28"/>
        </w:rPr>
      </w:pPr>
    </w:p>
    <w:p w14:paraId="032D13B3">
      <w:pPr>
        <w:widowControl/>
        <w:spacing w:line="0" w:lineRule="atLeast"/>
        <w:jc w:val="left"/>
        <w:rPr>
          <w:rFonts w:ascii="仿宋" w:hAnsi="仿宋" w:eastAsia="仿宋"/>
          <w:sz w:val="28"/>
          <w:szCs w:val="28"/>
        </w:rPr>
      </w:pPr>
    </w:p>
    <w:p w14:paraId="2D11B61B">
      <w:pPr>
        <w:tabs>
          <w:tab w:val="left" w:pos="5205"/>
        </w:tabs>
        <w:spacing w:line="320" w:lineRule="exact"/>
        <w:rPr>
          <w:rFonts w:hint="eastAsia" w:ascii="宋体" w:hAnsi="宋体" w:cs="宋体"/>
          <w:b/>
          <w:sz w:val="28"/>
          <w:szCs w:val="28"/>
        </w:rPr>
      </w:pPr>
    </w:p>
    <w:p w14:paraId="735964BC">
      <w:pPr>
        <w:tabs>
          <w:tab w:val="left" w:pos="5205"/>
        </w:tabs>
        <w:spacing w:line="320" w:lineRule="exact"/>
        <w:rPr>
          <w:rFonts w:ascii="宋体" w:hAnsi="宋体" w:cs="宋体"/>
          <w:b/>
          <w:sz w:val="28"/>
          <w:szCs w:val="28"/>
        </w:rPr>
      </w:pPr>
      <w:r>
        <w:rPr>
          <w:rFonts w:hint="eastAsia" w:ascii="宋体" w:hAnsi="宋体" w:cs="宋体"/>
          <w:b/>
          <w:sz w:val="28"/>
          <w:szCs w:val="28"/>
        </w:rPr>
        <w:t>附件：软件工程造价师培训大纲</w:t>
      </w:r>
    </w:p>
    <w:tbl>
      <w:tblPr>
        <w:tblStyle w:val="3"/>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70" w:type="dxa"/>
          <w:left w:w="70" w:type="dxa"/>
          <w:bottom w:w="70" w:type="dxa"/>
          <w:right w:w="70" w:type="dxa"/>
        </w:tblCellMar>
      </w:tblPr>
      <w:tblGrid>
        <w:gridCol w:w="708"/>
        <w:gridCol w:w="709"/>
        <w:gridCol w:w="2552"/>
        <w:gridCol w:w="3969"/>
        <w:gridCol w:w="421"/>
        <w:gridCol w:w="425"/>
      </w:tblGrid>
      <w:tr w14:paraId="6006A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70" w:type="dxa"/>
            <w:left w:w="70" w:type="dxa"/>
            <w:bottom w:w="70" w:type="dxa"/>
            <w:right w:w="70" w:type="dxa"/>
          </w:tblCellMar>
        </w:tblPrEx>
        <w:trPr>
          <w:jc w:val="center"/>
        </w:trPr>
        <w:tc>
          <w:tcPr>
            <w:tcW w:w="708" w:type="dxa"/>
            <w:shd w:val="clear" w:color="auto" w:fill="auto"/>
            <w:tcMar>
              <w:top w:w="0" w:type="dxa"/>
              <w:left w:w="105" w:type="dxa"/>
              <w:bottom w:w="0" w:type="dxa"/>
              <w:right w:w="105" w:type="dxa"/>
            </w:tcMar>
            <w:vAlign w:val="center"/>
          </w:tcPr>
          <w:p w14:paraId="477A6EAB">
            <w:pPr>
              <w:widowControl/>
              <w:spacing w:line="0" w:lineRule="atLeast"/>
              <w:jc w:val="center"/>
              <w:rPr>
                <w:rFonts w:ascii="仿宋" w:hAnsi="仿宋" w:eastAsia="仿宋" w:cs="仿宋"/>
                <w:kern w:val="0"/>
                <w:szCs w:val="21"/>
              </w:rPr>
            </w:pPr>
            <w:r>
              <w:rPr>
                <w:rFonts w:hint="eastAsia" w:ascii="仿宋" w:hAnsi="仿宋" w:eastAsia="仿宋" w:cs="仿宋"/>
                <w:b/>
                <w:bCs/>
                <w:kern w:val="0"/>
                <w:szCs w:val="21"/>
              </w:rPr>
              <w:t>课程阶段</w:t>
            </w:r>
          </w:p>
        </w:tc>
        <w:tc>
          <w:tcPr>
            <w:tcW w:w="3261" w:type="dxa"/>
            <w:gridSpan w:val="2"/>
            <w:shd w:val="clear" w:color="auto" w:fill="auto"/>
            <w:tcMar>
              <w:top w:w="0" w:type="dxa"/>
              <w:left w:w="0" w:type="dxa"/>
              <w:bottom w:w="0" w:type="dxa"/>
              <w:right w:w="0" w:type="dxa"/>
            </w:tcMar>
            <w:vAlign w:val="center"/>
          </w:tcPr>
          <w:p w14:paraId="3EF475F4">
            <w:pPr>
              <w:widowControl/>
              <w:spacing w:line="0" w:lineRule="atLeast"/>
              <w:jc w:val="center"/>
              <w:rPr>
                <w:rFonts w:ascii="仿宋" w:hAnsi="仿宋" w:eastAsia="仿宋" w:cs="仿宋"/>
                <w:kern w:val="0"/>
                <w:szCs w:val="21"/>
              </w:rPr>
            </w:pPr>
            <w:r>
              <w:rPr>
                <w:rFonts w:hint="eastAsia" w:ascii="仿宋" w:hAnsi="仿宋" w:eastAsia="仿宋" w:cs="仿宋"/>
                <w:b/>
                <w:bCs/>
                <w:kern w:val="0"/>
                <w:szCs w:val="21"/>
              </w:rPr>
              <w:t>课程内容安排</w:t>
            </w:r>
          </w:p>
        </w:tc>
        <w:tc>
          <w:tcPr>
            <w:tcW w:w="3969" w:type="dxa"/>
            <w:shd w:val="clear" w:color="auto" w:fill="auto"/>
            <w:tcMar>
              <w:top w:w="0" w:type="dxa"/>
              <w:left w:w="0" w:type="dxa"/>
              <w:bottom w:w="0" w:type="dxa"/>
              <w:right w:w="0" w:type="dxa"/>
            </w:tcMar>
            <w:vAlign w:val="center"/>
          </w:tcPr>
          <w:p w14:paraId="435DF7B1">
            <w:pPr>
              <w:widowControl/>
              <w:spacing w:line="0" w:lineRule="atLeast"/>
              <w:jc w:val="center"/>
              <w:rPr>
                <w:rFonts w:ascii="仿宋" w:hAnsi="仿宋" w:eastAsia="仿宋" w:cs="仿宋"/>
                <w:kern w:val="0"/>
                <w:szCs w:val="21"/>
              </w:rPr>
            </w:pPr>
            <w:r>
              <w:rPr>
                <w:rFonts w:hint="eastAsia" w:ascii="仿宋" w:hAnsi="仿宋" w:eastAsia="仿宋" w:cs="仿宋"/>
                <w:b/>
                <w:bCs/>
                <w:kern w:val="0"/>
                <w:szCs w:val="21"/>
              </w:rPr>
              <w:t>主要学习要点</w:t>
            </w:r>
          </w:p>
        </w:tc>
        <w:tc>
          <w:tcPr>
            <w:tcW w:w="846" w:type="dxa"/>
            <w:gridSpan w:val="2"/>
            <w:shd w:val="clear" w:color="auto" w:fill="auto"/>
            <w:tcMar>
              <w:top w:w="0" w:type="dxa"/>
              <w:left w:w="0" w:type="dxa"/>
              <w:bottom w:w="0" w:type="dxa"/>
              <w:right w:w="0" w:type="dxa"/>
            </w:tcMar>
            <w:vAlign w:val="center"/>
          </w:tcPr>
          <w:p w14:paraId="06F42A47">
            <w:pPr>
              <w:widowControl/>
              <w:spacing w:line="0" w:lineRule="atLeast"/>
              <w:jc w:val="center"/>
              <w:rPr>
                <w:rFonts w:ascii="仿宋" w:hAnsi="仿宋" w:eastAsia="仿宋" w:cs="仿宋"/>
                <w:kern w:val="0"/>
                <w:szCs w:val="21"/>
              </w:rPr>
            </w:pPr>
            <w:r>
              <w:rPr>
                <w:rFonts w:hint="eastAsia" w:ascii="仿宋" w:hAnsi="仿宋" w:eastAsia="仿宋" w:cs="仿宋"/>
                <w:b/>
                <w:bCs/>
                <w:kern w:val="0"/>
                <w:szCs w:val="21"/>
              </w:rPr>
              <w:t>课程  形式</w:t>
            </w:r>
          </w:p>
        </w:tc>
      </w:tr>
      <w:tr w14:paraId="574D9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trHeight w:val="484" w:hRule="atLeast"/>
          <w:jc w:val="center"/>
        </w:trPr>
        <w:tc>
          <w:tcPr>
            <w:tcW w:w="708" w:type="dxa"/>
            <w:vMerge w:val="restart"/>
            <w:shd w:val="clear" w:color="auto" w:fill="FFFFFF"/>
            <w:tcMar>
              <w:top w:w="0" w:type="dxa"/>
              <w:left w:w="0" w:type="dxa"/>
              <w:bottom w:w="0" w:type="dxa"/>
              <w:right w:w="0" w:type="dxa"/>
            </w:tcMar>
            <w:vAlign w:val="center"/>
          </w:tcPr>
          <w:p w14:paraId="7AF2FE0D">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前置课程</w:t>
            </w:r>
          </w:p>
        </w:tc>
        <w:tc>
          <w:tcPr>
            <w:tcW w:w="709" w:type="dxa"/>
            <w:vMerge w:val="restart"/>
            <w:shd w:val="clear" w:color="auto" w:fill="FFFFFF"/>
            <w:tcMar>
              <w:top w:w="0" w:type="dxa"/>
              <w:left w:w="0" w:type="dxa"/>
              <w:bottom w:w="0" w:type="dxa"/>
              <w:right w:w="0" w:type="dxa"/>
            </w:tcMar>
            <w:vAlign w:val="center"/>
          </w:tcPr>
          <w:p w14:paraId="57092C43">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软件工程基础专业知识（20学时）</w:t>
            </w:r>
          </w:p>
        </w:tc>
        <w:tc>
          <w:tcPr>
            <w:tcW w:w="2552" w:type="dxa"/>
            <w:shd w:val="clear" w:color="auto" w:fill="FFFFFF"/>
            <w:tcMar>
              <w:top w:w="0" w:type="dxa"/>
              <w:left w:w="0" w:type="dxa"/>
              <w:bottom w:w="0" w:type="dxa"/>
              <w:right w:w="0" w:type="dxa"/>
            </w:tcMar>
            <w:vAlign w:val="center"/>
          </w:tcPr>
          <w:p w14:paraId="15F3E3C7">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软件工程概论</w:t>
            </w:r>
          </w:p>
        </w:tc>
        <w:tc>
          <w:tcPr>
            <w:tcW w:w="3969" w:type="dxa"/>
            <w:shd w:val="clear" w:color="auto" w:fill="FFFFFF"/>
            <w:tcMar>
              <w:top w:w="0" w:type="dxa"/>
              <w:left w:w="0" w:type="dxa"/>
              <w:bottom w:w="0" w:type="dxa"/>
              <w:right w:w="0" w:type="dxa"/>
            </w:tcMar>
            <w:vAlign w:val="center"/>
          </w:tcPr>
          <w:p w14:paraId="4876102D">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软件及软件工程的基本概念、本质</w:t>
            </w:r>
          </w:p>
        </w:tc>
        <w:tc>
          <w:tcPr>
            <w:tcW w:w="846" w:type="dxa"/>
            <w:gridSpan w:val="2"/>
            <w:vMerge w:val="restart"/>
            <w:shd w:val="clear" w:color="auto" w:fill="FFFFFF"/>
            <w:tcMar>
              <w:top w:w="0" w:type="dxa"/>
              <w:left w:w="0" w:type="dxa"/>
              <w:bottom w:w="0" w:type="dxa"/>
              <w:right w:w="0" w:type="dxa"/>
            </w:tcMar>
            <w:vAlign w:val="center"/>
          </w:tcPr>
          <w:p w14:paraId="745761BD">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线上录播视频</w:t>
            </w:r>
          </w:p>
        </w:tc>
      </w:tr>
      <w:tr w14:paraId="6EFE7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jc w:val="center"/>
        </w:trPr>
        <w:tc>
          <w:tcPr>
            <w:tcW w:w="708" w:type="dxa"/>
            <w:vMerge w:val="continue"/>
            <w:shd w:val="clear" w:color="auto" w:fill="FFFFFF"/>
            <w:vAlign w:val="center"/>
          </w:tcPr>
          <w:p w14:paraId="568937F7">
            <w:pPr>
              <w:widowControl/>
              <w:spacing w:line="0" w:lineRule="atLeast"/>
              <w:jc w:val="left"/>
              <w:rPr>
                <w:rFonts w:ascii="仿宋" w:hAnsi="仿宋" w:eastAsia="仿宋" w:cs="仿宋"/>
                <w:kern w:val="0"/>
                <w:szCs w:val="21"/>
              </w:rPr>
            </w:pPr>
          </w:p>
        </w:tc>
        <w:tc>
          <w:tcPr>
            <w:tcW w:w="709" w:type="dxa"/>
            <w:vMerge w:val="continue"/>
            <w:shd w:val="clear" w:color="auto" w:fill="FFFFFF"/>
            <w:vAlign w:val="center"/>
          </w:tcPr>
          <w:p w14:paraId="6934D319">
            <w:pPr>
              <w:widowControl/>
              <w:spacing w:line="0" w:lineRule="atLeast"/>
              <w:jc w:val="left"/>
              <w:rPr>
                <w:rFonts w:ascii="仿宋" w:hAnsi="仿宋" w:eastAsia="仿宋" w:cs="仿宋"/>
                <w:kern w:val="0"/>
                <w:szCs w:val="21"/>
              </w:rPr>
            </w:pPr>
          </w:p>
        </w:tc>
        <w:tc>
          <w:tcPr>
            <w:tcW w:w="2552" w:type="dxa"/>
            <w:shd w:val="clear" w:color="auto" w:fill="FFFFFF"/>
            <w:tcMar>
              <w:top w:w="0" w:type="dxa"/>
              <w:left w:w="0" w:type="dxa"/>
              <w:bottom w:w="0" w:type="dxa"/>
              <w:right w:w="0" w:type="dxa"/>
            </w:tcMar>
            <w:vAlign w:val="center"/>
          </w:tcPr>
          <w:p w14:paraId="2A935427">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软件过程管理</w:t>
            </w:r>
          </w:p>
        </w:tc>
        <w:tc>
          <w:tcPr>
            <w:tcW w:w="3969" w:type="dxa"/>
            <w:shd w:val="clear" w:color="auto" w:fill="FFFFFF"/>
            <w:tcMar>
              <w:top w:w="0" w:type="dxa"/>
              <w:left w:w="0" w:type="dxa"/>
              <w:bottom w:w="0" w:type="dxa"/>
              <w:right w:w="0" w:type="dxa"/>
            </w:tcMar>
            <w:vAlign w:val="center"/>
          </w:tcPr>
          <w:p w14:paraId="71102F7C">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软件过程概念、基本过程模型、统一过程、敏捷开发、过程改进等</w:t>
            </w:r>
          </w:p>
        </w:tc>
        <w:tc>
          <w:tcPr>
            <w:tcW w:w="846" w:type="dxa"/>
            <w:gridSpan w:val="2"/>
            <w:vMerge w:val="continue"/>
            <w:shd w:val="clear" w:color="auto" w:fill="FFFFFF"/>
            <w:vAlign w:val="center"/>
          </w:tcPr>
          <w:p w14:paraId="14FAA7A7">
            <w:pPr>
              <w:widowControl/>
              <w:spacing w:line="0" w:lineRule="atLeast"/>
              <w:jc w:val="left"/>
              <w:rPr>
                <w:rFonts w:ascii="仿宋" w:hAnsi="仿宋" w:eastAsia="仿宋" w:cs="仿宋"/>
                <w:kern w:val="0"/>
                <w:szCs w:val="21"/>
              </w:rPr>
            </w:pPr>
          </w:p>
        </w:tc>
      </w:tr>
      <w:tr w14:paraId="7C44C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jc w:val="center"/>
        </w:trPr>
        <w:tc>
          <w:tcPr>
            <w:tcW w:w="708" w:type="dxa"/>
            <w:vMerge w:val="continue"/>
            <w:shd w:val="clear" w:color="auto" w:fill="FFFFFF"/>
            <w:vAlign w:val="center"/>
          </w:tcPr>
          <w:p w14:paraId="326977DF">
            <w:pPr>
              <w:widowControl/>
              <w:spacing w:line="0" w:lineRule="atLeast"/>
              <w:jc w:val="left"/>
              <w:rPr>
                <w:rFonts w:ascii="仿宋" w:hAnsi="仿宋" w:eastAsia="仿宋" w:cs="仿宋"/>
                <w:kern w:val="0"/>
                <w:szCs w:val="21"/>
              </w:rPr>
            </w:pPr>
          </w:p>
        </w:tc>
        <w:tc>
          <w:tcPr>
            <w:tcW w:w="709" w:type="dxa"/>
            <w:vMerge w:val="continue"/>
            <w:shd w:val="clear" w:color="auto" w:fill="FFFFFF"/>
            <w:vAlign w:val="center"/>
          </w:tcPr>
          <w:p w14:paraId="13286D46">
            <w:pPr>
              <w:widowControl/>
              <w:spacing w:line="0" w:lineRule="atLeast"/>
              <w:jc w:val="left"/>
              <w:rPr>
                <w:rFonts w:ascii="仿宋" w:hAnsi="仿宋" w:eastAsia="仿宋" w:cs="仿宋"/>
                <w:kern w:val="0"/>
                <w:szCs w:val="21"/>
              </w:rPr>
            </w:pPr>
          </w:p>
        </w:tc>
        <w:tc>
          <w:tcPr>
            <w:tcW w:w="2552" w:type="dxa"/>
            <w:shd w:val="clear" w:color="auto" w:fill="FFFFFF"/>
            <w:tcMar>
              <w:top w:w="0" w:type="dxa"/>
              <w:left w:w="0" w:type="dxa"/>
              <w:bottom w:w="0" w:type="dxa"/>
              <w:right w:w="0" w:type="dxa"/>
            </w:tcMar>
            <w:vAlign w:val="center"/>
          </w:tcPr>
          <w:p w14:paraId="10F4BFF1">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软件开发流程</w:t>
            </w:r>
          </w:p>
        </w:tc>
        <w:tc>
          <w:tcPr>
            <w:tcW w:w="3969" w:type="dxa"/>
            <w:shd w:val="clear" w:color="auto" w:fill="FFFFFF"/>
            <w:tcMar>
              <w:top w:w="0" w:type="dxa"/>
              <w:left w:w="0" w:type="dxa"/>
              <w:bottom w:w="0" w:type="dxa"/>
              <w:right w:w="0" w:type="dxa"/>
            </w:tcMar>
            <w:vAlign w:val="center"/>
          </w:tcPr>
          <w:p w14:paraId="18744C28">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软件需求分析、设计、测试、维护等概念</w:t>
            </w:r>
          </w:p>
        </w:tc>
        <w:tc>
          <w:tcPr>
            <w:tcW w:w="846" w:type="dxa"/>
            <w:gridSpan w:val="2"/>
            <w:vMerge w:val="continue"/>
            <w:shd w:val="clear" w:color="auto" w:fill="FFFFFF"/>
            <w:vAlign w:val="center"/>
          </w:tcPr>
          <w:p w14:paraId="409A5892">
            <w:pPr>
              <w:widowControl/>
              <w:spacing w:line="0" w:lineRule="atLeast"/>
              <w:jc w:val="left"/>
              <w:rPr>
                <w:rFonts w:ascii="仿宋" w:hAnsi="仿宋" w:eastAsia="仿宋" w:cs="仿宋"/>
                <w:kern w:val="0"/>
                <w:szCs w:val="21"/>
              </w:rPr>
            </w:pPr>
          </w:p>
        </w:tc>
      </w:tr>
      <w:tr w14:paraId="7FDB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jc w:val="center"/>
        </w:trPr>
        <w:tc>
          <w:tcPr>
            <w:tcW w:w="708" w:type="dxa"/>
            <w:vMerge w:val="continue"/>
            <w:shd w:val="clear" w:color="auto" w:fill="FFFFFF"/>
            <w:vAlign w:val="center"/>
          </w:tcPr>
          <w:p w14:paraId="74D99906">
            <w:pPr>
              <w:widowControl/>
              <w:spacing w:line="0" w:lineRule="atLeast"/>
              <w:jc w:val="left"/>
              <w:rPr>
                <w:rFonts w:ascii="仿宋" w:hAnsi="仿宋" w:eastAsia="仿宋" w:cs="仿宋"/>
                <w:kern w:val="0"/>
                <w:szCs w:val="21"/>
              </w:rPr>
            </w:pPr>
          </w:p>
        </w:tc>
        <w:tc>
          <w:tcPr>
            <w:tcW w:w="709" w:type="dxa"/>
            <w:vMerge w:val="continue"/>
            <w:shd w:val="clear" w:color="auto" w:fill="FFFFFF"/>
            <w:vAlign w:val="center"/>
          </w:tcPr>
          <w:p w14:paraId="5AD07E61">
            <w:pPr>
              <w:widowControl/>
              <w:spacing w:line="0" w:lineRule="atLeast"/>
              <w:jc w:val="left"/>
              <w:rPr>
                <w:rFonts w:ascii="仿宋" w:hAnsi="仿宋" w:eastAsia="仿宋" w:cs="仿宋"/>
                <w:kern w:val="0"/>
                <w:szCs w:val="21"/>
              </w:rPr>
            </w:pPr>
          </w:p>
        </w:tc>
        <w:tc>
          <w:tcPr>
            <w:tcW w:w="2552" w:type="dxa"/>
            <w:shd w:val="clear" w:color="auto" w:fill="FFFFFF"/>
            <w:tcMar>
              <w:top w:w="0" w:type="dxa"/>
              <w:left w:w="0" w:type="dxa"/>
              <w:bottom w:w="0" w:type="dxa"/>
              <w:right w:w="0" w:type="dxa"/>
            </w:tcMar>
            <w:vAlign w:val="center"/>
          </w:tcPr>
          <w:p w14:paraId="0B8D2B2E">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软件项目管理</w:t>
            </w:r>
          </w:p>
        </w:tc>
        <w:tc>
          <w:tcPr>
            <w:tcW w:w="3969" w:type="dxa"/>
            <w:shd w:val="clear" w:color="auto" w:fill="FFFFFF"/>
            <w:tcMar>
              <w:top w:w="0" w:type="dxa"/>
              <w:left w:w="0" w:type="dxa"/>
              <w:bottom w:w="0" w:type="dxa"/>
              <w:right w:w="0" w:type="dxa"/>
            </w:tcMar>
            <w:vAlign w:val="center"/>
          </w:tcPr>
          <w:p w14:paraId="41BE3251">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基本概念、团队、进度、风险、配置管理等</w:t>
            </w:r>
          </w:p>
        </w:tc>
        <w:tc>
          <w:tcPr>
            <w:tcW w:w="846" w:type="dxa"/>
            <w:gridSpan w:val="2"/>
            <w:vMerge w:val="continue"/>
            <w:shd w:val="clear" w:color="auto" w:fill="FFFFFF"/>
            <w:vAlign w:val="center"/>
          </w:tcPr>
          <w:p w14:paraId="389D2684">
            <w:pPr>
              <w:widowControl/>
              <w:spacing w:line="0" w:lineRule="atLeast"/>
              <w:jc w:val="left"/>
              <w:rPr>
                <w:rFonts w:ascii="仿宋" w:hAnsi="仿宋" w:eastAsia="仿宋" w:cs="仿宋"/>
                <w:kern w:val="0"/>
                <w:szCs w:val="21"/>
              </w:rPr>
            </w:pPr>
          </w:p>
        </w:tc>
      </w:tr>
      <w:tr w14:paraId="17BF9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jc w:val="center"/>
        </w:trPr>
        <w:tc>
          <w:tcPr>
            <w:tcW w:w="708" w:type="dxa"/>
            <w:vMerge w:val="restart"/>
            <w:shd w:val="clear" w:color="auto" w:fill="FFFFFF"/>
            <w:tcMar>
              <w:top w:w="0" w:type="dxa"/>
              <w:left w:w="0" w:type="dxa"/>
              <w:bottom w:w="0" w:type="dxa"/>
              <w:right w:w="0" w:type="dxa"/>
            </w:tcMar>
            <w:vAlign w:val="center"/>
          </w:tcPr>
          <w:p w14:paraId="2031725C">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专</w:t>
            </w:r>
          </w:p>
          <w:p w14:paraId="23FCFDFA">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业</w:t>
            </w:r>
          </w:p>
          <w:p w14:paraId="3BA82F65">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课</w:t>
            </w:r>
          </w:p>
          <w:p w14:paraId="3E2F0BC9">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程</w:t>
            </w:r>
          </w:p>
        </w:tc>
        <w:tc>
          <w:tcPr>
            <w:tcW w:w="709" w:type="dxa"/>
            <w:vMerge w:val="restart"/>
            <w:shd w:val="clear" w:color="auto" w:fill="FFFFFF"/>
            <w:tcMar>
              <w:top w:w="0" w:type="dxa"/>
              <w:left w:w="0" w:type="dxa"/>
              <w:bottom w:w="0" w:type="dxa"/>
              <w:right w:w="0" w:type="dxa"/>
            </w:tcMar>
            <w:vAlign w:val="center"/>
          </w:tcPr>
          <w:p w14:paraId="2DE3EC8C">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软件工程造价专业知识点讲解及案例分析（44学时）</w:t>
            </w:r>
          </w:p>
        </w:tc>
        <w:tc>
          <w:tcPr>
            <w:tcW w:w="2552" w:type="dxa"/>
            <w:shd w:val="clear" w:color="auto" w:fill="FFFFFF"/>
            <w:tcMar>
              <w:top w:w="0" w:type="dxa"/>
              <w:left w:w="0" w:type="dxa"/>
              <w:bottom w:w="0" w:type="dxa"/>
              <w:right w:w="0" w:type="dxa"/>
            </w:tcMar>
            <w:vAlign w:val="center"/>
          </w:tcPr>
          <w:p w14:paraId="1BF67820">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估算概述</w:t>
            </w:r>
          </w:p>
        </w:tc>
        <w:tc>
          <w:tcPr>
            <w:tcW w:w="3969" w:type="dxa"/>
            <w:shd w:val="clear" w:color="auto" w:fill="FFFFFF"/>
            <w:tcMar>
              <w:top w:w="0" w:type="dxa"/>
              <w:left w:w="0" w:type="dxa"/>
              <w:bottom w:w="0" w:type="dxa"/>
              <w:right w:w="0" w:type="dxa"/>
            </w:tcMar>
            <w:vAlign w:val="center"/>
          </w:tcPr>
          <w:p w14:paraId="596B1F1E">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估算的目的、面临主要问题、常用方法及选择、估算要点、基于国家标准的估算过程</w:t>
            </w:r>
          </w:p>
        </w:tc>
        <w:tc>
          <w:tcPr>
            <w:tcW w:w="421" w:type="dxa"/>
            <w:vMerge w:val="restart"/>
            <w:shd w:val="clear" w:color="auto" w:fill="FFFFFF"/>
            <w:tcMar>
              <w:top w:w="0" w:type="dxa"/>
              <w:left w:w="0" w:type="dxa"/>
              <w:bottom w:w="0" w:type="dxa"/>
              <w:right w:w="0" w:type="dxa"/>
            </w:tcMar>
            <w:vAlign w:val="center"/>
          </w:tcPr>
          <w:p w14:paraId="7D95A447">
            <w:pPr>
              <w:widowControl/>
              <w:spacing w:line="0" w:lineRule="atLeast"/>
              <w:jc w:val="center"/>
              <w:rPr>
                <w:rFonts w:ascii="仿宋" w:hAnsi="仿宋" w:eastAsia="仿宋" w:cs="仿宋"/>
                <w:kern w:val="0"/>
                <w:szCs w:val="21"/>
              </w:rPr>
            </w:pPr>
          </w:p>
          <w:p w14:paraId="70CC2496">
            <w:pPr>
              <w:widowControl/>
              <w:spacing w:line="0" w:lineRule="atLeast"/>
              <w:jc w:val="center"/>
              <w:rPr>
                <w:rFonts w:ascii="仿宋" w:hAnsi="仿宋" w:eastAsia="仿宋" w:cs="仿宋"/>
                <w:kern w:val="0"/>
                <w:szCs w:val="21"/>
              </w:rPr>
            </w:pPr>
          </w:p>
          <w:p w14:paraId="62A484CD">
            <w:pPr>
              <w:widowControl/>
              <w:spacing w:line="0" w:lineRule="atLeast"/>
              <w:jc w:val="center"/>
              <w:rPr>
                <w:rFonts w:ascii="仿宋" w:hAnsi="仿宋" w:eastAsia="仿宋" w:cs="仿宋"/>
                <w:kern w:val="0"/>
                <w:szCs w:val="21"/>
              </w:rPr>
            </w:pPr>
          </w:p>
          <w:p w14:paraId="5C87A57B">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第</w:t>
            </w:r>
          </w:p>
          <w:p w14:paraId="5AE446EF">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一</w:t>
            </w:r>
          </w:p>
          <w:p w14:paraId="02822435">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天</w:t>
            </w:r>
          </w:p>
          <w:p w14:paraId="55B3AF83">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课</w:t>
            </w:r>
          </w:p>
          <w:p w14:paraId="69611F83">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程</w:t>
            </w:r>
          </w:p>
        </w:tc>
        <w:tc>
          <w:tcPr>
            <w:tcW w:w="425" w:type="dxa"/>
            <w:vMerge w:val="restart"/>
            <w:shd w:val="clear" w:color="auto" w:fill="FFFFFF"/>
            <w:tcMar>
              <w:top w:w="0" w:type="dxa"/>
              <w:left w:w="0" w:type="dxa"/>
              <w:bottom w:w="0" w:type="dxa"/>
              <w:right w:w="0" w:type="dxa"/>
            </w:tcMar>
            <w:vAlign w:val="center"/>
          </w:tcPr>
          <w:p w14:paraId="4E02DD26">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线</w:t>
            </w:r>
          </w:p>
          <w:p w14:paraId="5EEADE9C">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下</w:t>
            </w:r>
          </w:p>
          <w:p w14:paraId="736ADE69">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小</w:t>
            </w:r>
          </w:p>
          <w:p w14:paraId="65E356E1">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班</w:t>
            </w:r>
          </w:p>
          <w:p w14:paraId="5D88F5F0">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授</w:t>
            </w:r>
          </w:p>
          <w:p w14:paraId="6A4FF038">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课</w:t>
            </w:r>
          </w:p>
        </w:tc>
      </w:tr>
      <w:tr w14:paraId="5B208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jc w:val="center"/>
        </w:trPr>
        <w:tc>
          <w:tcPr>
            <w:tcW w:w="708" w:type="dxa"/>
            <w:vMerge w:val="continue"/>
            <w:shd w:val="clear" w:color="auto" w:fill="FFFFFF"/>
            <w:vAlign w:val="center"/>
          </w:tcPr>
          <w:p w14:paraId="2BA1514F">
            <w:pPr>
              <w:widowControl/>
              <w:spacing w:line="0" w:lineRule="atLeast"/>
              <w:jc w:val="left"/>
              <w:rPr>
                <w:rFonts w:ascii="仿宋" w:hAnsi="仿宋" w:eastAsia="仿宋" w:cs="仿宋"/>
                <w:kern w:val="0"/>
                <w:szCs w:val="21"/>
              </w:rPr>
            </w:pPr>
          </w:p>
        </w:tc>
        <w:tc>
          <w:tcPr>
            <w:tcW w:w="709" w:type="dxa"/>
            <w:vMerge w:val="continue"/>
            <w:shd w:val="clear" w:color="auto" w:fill="FFFFFF"/>
            <w:vAlign w:val="center"/>
          </w:tcPr>
          <w:p w14:paraId="66B90F73">
            <w:pPr>
              <w:widowControl/>
              <w:spacing w:line="0" w:lineRule="atLeast"/>
              <w:jc w:val="left"/>
              <w:rPr>
                <w:rFonts w:ascii="仿宋" w:hAnsi="仿宋" w:eastAsia="仿宋" w:cs="仿宋"/>
                <w:kern w:val="0"/>
                <w:szCs w:val="21"/>
              </w:rPr>
            </w:pPr>
          </w:p>
        </w:tc>
        <w:tc>
          <w:tcPr>
            <w:tcW w:w="2552" w:type="dxa"/>
            <w:shd w:val="clear" w:color="auto" w:fill="FFFFFF"/>
            <w:tcMar>
              <w:top w:w="0" w:type="dxa"/>
              <w:left w:w="0" w:type="dxa"/>
              <w:bottom w:w="0" w:type="dxa"/>
              <w:right w:w="0" w:type="dxa"/>
            </w:tcMar>
            <w:vAlign w:val="center"/>
          </w:tcPr>
          <w:p w14:paraId="6492A11E">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软件规模估算</w:t>
            </w:r>
          </w:p>
        </w:tc>
        <w:tc>
          <w:tcPr>
            <w:tcW w:w="3969" w:type="dxa"/>
            <w:shd w:val="clear" w:color="auto" w:fill="FFFFFF"/>
            <w:tcMar>
              <w:top w:w="0" w:type="dxa"/>
              <w:left w:w="0" w:type="dxa"/>
              <w:bottom w:w="0" w:type="dxa"/>
              <w:right w:w="0" w:type="dxa"/>
            </w:tcMar>
            <w:vAlign w:val="center"/>
          </w:tcPr>
          <w:p w14:paraId="683BDCC7">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规模估算的主要方法、功能点方法的概念、基于快速功能点方法进行估算的过程和要点</w:t>
            </w:r>
          </w:p>
        </w:tc>
        <w:tc>
          <w:tcPr>
            <w:tcW w:w="421" w:type="dxa"/>
            <w:vMerge w:val="continue"/>
            <w:shd w:val="clear" w:color="auto" w:fill="FFFFFF"/>
            <w:vAlign w:val="center"/>
          </w:tcPr>
          <w:p w14:paraId="5B91B92D">
            <w:pPr>
              <w:widowControl/>
              <w:spacing w:line="0" w:lineRule="atLeast"/>
              <w:jc w:val="left"/>
              <w:rPr>
                <w:rFonts w:ascii="仿宋" w:hAnsi="仿宋" w:eastAsia="仿宋" w:cs="仿宋"/>
                <w:kern w:val="0"/>
                <w:szCs w:val="21"/>
              </w:rPr>
            </w:pPr>
          </w:p>
        </w:tc>
        <w:tc>
          <w:tcPr>
            <w:tcW w:w="425" w:type="dxa"/>
            <w:vMerge w:val="continue"/>
            <w:shd w:val="clear" w:color="auto" w:fill="FFFFFF"/>
            <w:vAlign w:val="center"/>
          </w:tcPr>
          <w:p w14:paraId="0079C8FF">
            <w:pPr>
              <w:widowControl/>
              <w:spacing w:line="0" w:lineRule="atLeast"/>
              <w:jc w:val="left"/>
              <w:rPr>
                <w:rFonts w:ascii="仿宋" w:hAnsi="仿宋" w:eastAsia="仿宋" w:cs="仿宋"/>
                <w:kern w:val="0"/>
                <w:szCs w:val="21"/>
              </w:rPr>
            </w:pPr>
          </w:p>
        </w:tc>
      </w:tr>
      <w:tr w14:paraId="1646C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jc w:val="center"/>
        </w:trPr>
        <w:tc>
          <w:tcPr>
            <w:tcW w:w="708" w:type="dxa"/>
            <w:vMerge w:val="continue"/>
            <w:shd w:val="clear" w:color="auto" w:fill="FFFFFF"/>
            <w:vAlign w:val="center"/>
          </w:tcPr>
          <w:p w14:paraId="095BEDB0">
            <w:pPr>
              <w:widowControl/>
              <w:spacing w:line="0" w:lineRule="atLeast"/>
              <w:jc w:val="left"/>
              <w:rPr>
                <w:rFonts w:ascii="仿宋" w:hAnsi="仿宋" w:eastAsia="仿宋" w:cs="仿宋"/>
                <w:kern w:val="0"/>
                <w:szCs w:val="21"/>
              </w:rPr>
            </w:pPr>
          </w:p>
        </w:tc>
        <w:tc>
          <w:tcPr>
            <w:tcW w:w="709" w:type="dxa"/>
            <w:vMerge w:val="continue"/>
            <w:shd w:val="clear" w:color="auto" w:fill="FFFFFF"/>
            <w:vAlign w:val="center"/>
          </w:tcPr>
          <w:p w14:paraId="26BA3DA6">
            <w:pPr>
              <w:widowControl/>
              <w:spacing w:line="0" w:lineRule="atLeast"/>
              <w:jc w:val="left"/>
              <w:rPr>
                <w:rFonts w:ascii="仿宋" w:hAnsi="仿宋" w:eastAsia="仿宋" w:cs="仿宋"/>
                <w:kern w:val="0"/>
                <w:szCs w:val="21"/>
              </w:rPr>
            </w:pPr>
          </w:p>
        </w:tc>
        <w:tc>
          <w:tcPr>
            <w:tcW w:w="2552" w:type="dxa"/>
            <w:shd w:val="clear" w:color="auto" w:fill="FFFFFF"/>
            <w:tcMar>
              <w:top w:w="0" w:type="dxa"/>
              <w:left w:w="0" w:type="dxa"/>
              <w:bottom w:w="0" w:type="dxa"/>
              <w:right w:w="0" w:type="dxa"/>
            </w:tcMar>
            <w:vAlign w:val="center"/>
          </w:tcPr>
          <w:p w14:paraId="51DBD26F">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逻辑文件的理解、案例分析及实战演练</w:t>
            </w:r>
          </w:p>
        </w:tc>
        <w:tc>
          <w:tcPr>
            <w:tcW w:w="3969" w:type="dxa"/>
            <w:shd w:val="clear" w:color="auto" w:fill="FFFFFF"/>
            <w:tcMar>
              <w:top w:w="0" w:type="dxa"/>
              <w:left w:w="0" w:type="dxa"/>
              <w:bottom w:w="0" w:type="dxa"/>
              <w:right w:w="0" w:type="dxa"/>
            </w:tcMar>
            <w:vAlign w:val="center"/>
          </w:tcPr>
          <w:p w14:paraId="7924D0F3">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业务数据/引用数据/编码文件的区别、文件计数步骤、ILF识别规则及举例、EIF识别规则及举例、实战演练</w:t>
            </w:r>
          </w:p>
        </w:tc>
        <w:tc>
          <w:tcPr>
            <w:tcW w:w="421" w:type="dxa"/>
            <w:vMerge w:val="continue"/>
            <w:shd w:val="clear" w:color="auto" w:fill="FFFFFF"/>
            <w:vAlign w:val="center"/>
          </w:tcPr>
          <w:p w14:paraId="1470F84F">
            <w:pPr>
              <w:widowControl/>
              <w:spacing w:line="0" w:lineRule="atLeast"/>
              <w:jc w:val="left"/>
              <w:rPr>
                <w:rFonts w:ascii="仿宋" w:hAnsi="仿宋" w:eastAsia="仿宋" w:cs="仿宋"/>
                <w:kern w:val="0"/>
                <w:szCs w:val="21"/>
              </w:rPr>
            </w:pPr>
          </w:p>
        </w:tc>
        <w:tc>
          <w:tcPr>
            <w:tcW w:w="425" w:type="dxa"/>
            <w:vMerge w:val="continue"/>
            <w:shd w:val="clear" w:color="auto" w:fill="FFFFFF"/>
            <w:vAlign w:val="center"/>
          </w:tcPr>
          <w:p w14:paraId="4CF2B641">
            <w:pPr>
              <w:widowControl/>
              <w:spacing w:line="0" w:lineRule="atLeast"/>
              <w:jc w:val="left"/>
              <w:rPr>
                <w:rFonts w:ascii="仿宋" w:hAnsi="仿宋" w:eastAsia="仿宋" w:cs="仿宋"/>
                <w:kern w:val="0"/>
                <w:szCs w:val="21"/>
              </w:rPr>
            </w:pPr>
          </w:p>
        </w:tc>
      </w:tr>
      <w:tr w14:paraId="615E4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jc w:val="center"/>
        </w:trPr>
        <w:tc>
          <w:tcPr>
            <w:tcW w:w="708" w:type="dxa"/>
            <w:vMerge w:val="continue"/>
            <w:shd w:val="clear" w:color="auto" w:fill="FFFFFF"/>
            <w:vAlign w:val="center"/>
          </w:tcPr>
          <w:p w14:paraId="345AF5E8">
            <w:pPr>
              <w:widowControl/>
              <w:spacing w:line="0" w:lineRule="atLeast"/>
              <w:jc w:val="left"/>
              <w:rPr>
                <w:rFonts w:ascii="仿宋" w:hAnsi="仿宋" w:eastAsia="仿宋" w:cs="仿宋"/>
                <w:kern w:val="0"/>
                <w:szCs w:val="21"/>
              </w:rPr>
            </w:pPr>
          </w:p>
        </w:tc>
        <w:tc>
          <w:tcPr>
            <w:tcW w:w="709" w:type="dxa"/>
            <w:vMerge w:val="continue"/>
            <w:shd w:val="clear" w:color="auto" w:fill="FFFFFF"/>
            <w:vAlign w:val="center"/>
          </w:tcPr>
          <w:p w14:paraId="209884D3">
            <w:pPr>
              <w:widowControl/>
              <w:spacing w:line="0" w:lineRule="atLeast"/>
              <w:jc w:val="left"/>
              <w:rPr>
                <w:rFonts w:ascii="仿宋" w:hAnsi="仿宋" w:eastAsia="仿宋" w:cs="仿宋"/>
                <w:kern w:val="0"/>
                <w:szCs w:val="21"/>
              </w:rPr>
            </w:pPr>
          </w:p>
        </w:tc>
        <w:tc>
          <w:tcPr>
            <w:tcW w:w="2552" w:type="dxa"/>
            <w:shd w:val="clear" w:color="auto" w:fill="FFFFFF"/>
            <w:tcMar>
              <w:top w:w="0" w:type="dxa"/>
              <w:left w:w="0" w:type="dxa"/>
              <w:bottom w:w="0" w:type="dxa"/>
              <w:right w:w="0" w:type="dxa"/>
            </w:tcMar>
            <w:vAlign w:val="center"/>
          </w:tcPr>
          <w:p w14:paraId="162C4754">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基本过程的理解、案例分析及实战演练</w:t>
            </w:r>
          </w:p>
        </w:tc>
        <w:tc>
          <w:tcPr>
            <w:tcW w:w="3969" w:type="dxa"/>
            <w:shd w:val="clear" w:color="auto" w:fill="FFFFFF"/>
            <w:tcMar>
              <w:top w:w="0" w:type="dxa"/>
              <w:left w:w="0" w:type="dxa"/>
              <w:bottom w:w="0" w:type="dxa"/>
              <w:right w:w="0" w:type="dxa"/>
            </w:tcMar>
            <w:vAlign w:val="center"/>
          </w:tcPr>
          <w:p w14:paraId="3BB92F97">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基本过程定义、独立完整性的含义、基本过程分类、识别EI/EO/EQ规则及举例、规模估算小工具的使用、实战演练</w:t>
            </w:r>
          </w:p>
        </w:tc>
        <w:tc>
          <w:tcPr>
            <w:tcW w:w="421" w:type="dxa"/>
            <w:vMerge w:val="continue"/>
            <w:shd w:val="clear" w:color="auto" w:fill="FFFFFF"/>
            <w:vAlign w:val="center"/>
          </w:tcPr>
          <w:p w14:paraId="4A639809">
            <w:pPr>
              <w:widowControl/>
              <w:spacing w:line="0" w:lineRule="atLeast"/>
              <w:jc w:val="left"/>
              <w:rPr>
                <w:rFonts w:ascii="仿宋" w:hAnsi="仿宋" w:eastAsia="仿宋" w:cs="仿宋"/>
                <w:kern w:val="0"/>
                <w:szCs w:val="21"/>
              </w:rPr>
            </w:pPr>
          </w:p>
        </w:tc>
        <w:tc>
          <w:tcPr>
            <w:tcW w:w="425" w:type="dxa"/>
            <w:vMerge w:val="continue"/>
            <w:shd w:val="clear" w:color="auto" w:fill="FFFFFF"/>
            <w:vAlign w:val="center"/>
          </w:tcPr>
          <w:p w14:paraId="69CC657D">
            <w:pPr>
              <w:widowControl/>
              <w:spacing w:line="0" w:lineRule="atLeast"/>
              <w:jc w:val="left"/>
              <w:rPr>
                <w:rFonts w:ascii="仿宋" w:hAnsi="仿宋" w:eastAsia="仿宋" w:cs="仿宋"/>
                <w:kern w:val="0"/>
                <w:szCs w:val="21"/>
              </w:rPr>
            </w:pPr>
          </w:p>
        </w:tc>
      </w:tr>
      <w:tr w14:paraId="7D2B1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jc w:val="center"/>
        </w:trPr>
        <w:tc>
          <w:tcPr>
            <w:tcW w:w="708" w:type="dxa"/>
            <w:vMerge w:val="continue"/>
            <w:shd w:val="clear" w:color="auto" w:fill="FFFFFF"/>
            <w:vAlign w:val="center"/>
          </w:tcPr>
          <w:p w14:paraId="79AB4C0E">
            <w:pPr>
              <w:widowControl/>
              <w:spacing w:line="0" w:lineRule="atLeast"/>
              <w:jc w:val="left"/>
              <w:rPr>
                <w:rFonts w:ascii="仿宋" w:hAnsi="仿宋" w:eastAsia="仿宋" w:cs="仿宋"/>
                <w:kern w:val="0"/>
                <w:szCs w:val="21"/>
              </w:rPr>
            </w:pPr>
          </w:p>
        </w:tc>
        <w:tc>
          <w:tcPr>
            <w:tcW w:w="709" w:type="dxa"/>
            <w:vMerge w:val="continue"/>
            <w:shd w:val="clear" w:color="auto" w:fill="FFFFFF"/>
            <w:vAlign w:val="center"/>
          </w:tcPr>
          <w:p w14:paraId="3B91B3F1">
            <w:pPr>
              <w:widowControl/>
              <w:spacing w:line="0" w:lineRule="atLeast"/>
              <w:jc w:val="left"/>
              <w:rPr>
                <w:rFonts w:ascii="仿宋" w:hAnsi="仿宋" w:eastAsia="仿宋" w:cs="仿宋"/>
                <w:kern w:val="0"/>
                <w:szCs w:val="21"/>
              </w:rPr>
            </w:pPr>
          </w:p>
        </w:tc>
        <w:tc>
          <w:tcPr>
            <w:tcW w:w="2552" w:type="dxa"/>
            <w:shd w:val="clear" w:color="auto" w:fill="FFFFFF"/>
            <w:tcMar>
              <w:top w:w="0" w:type="dxa"/>
              <w:left w:w="0" w:type="dxa"/>
              <w:bottom w:w="0" w:type="dxa"/>
              <w:right w:w="0" w:type="dxa"/>
            </w:tcMar>
            <w:vAlign w:val="center"/>
          </w:tcPr>
          <w:p w14:paraId="5FB0EBF5">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规模估算难点讲解及案例分析</w:t>
            </w:r>
          </w:p>
        </w:tc>
        <w:tc>
          <w:tcPr>
            <w:tcW w:w="3969" w:type="dxa"/>
            <w:shd w:val="clear" w:color="auto" w:fill="FFFFFF"/>
            <w:tcMar>
              <w:top w:w="0" w:type="dxa"/>
              <w:left w:w="0" w:type="dxa"/>
              <w:bottom w:w="0" w:type="dxa"/>
              <w:right w:w="0" w:type="dxa"/>
            </w:tcMar>
            <w:vAlign w:val="center"/>
          </w:tcPr>
          <w:p w14:paraId="2158F3D1">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规模估算难点讲解、案例分析、完整功能点方法介绍</w:t>
            </w:r>
          </w:p>
        </w:tc>
        <w:tc>
          <w:tcPr>
            <w:tcW w:w="421" w:type="dxa"/>
            <w:vMerge w:val="restart"/>
            <w:shd w:val="clear" w:color="auto" w:fill="FFFFFF"/>
            <w:tcMar>
              <w:top w:w="0" w:type="dxa"/>
              <w:left w:w="0" w:type="dxa"/>
              <w:bottom w:w="0" w:type="dxa"/>
              <w:right w:w="0" w:type="dxa"/>
            </w:tcMar>
            <w:vAlign w:val="center"/>
          </w:tcPr>
          <w:p w14:paraId="6C8E5C49">
            <w:pPr>
              <w:widowControl/>
              <w:spacing w:line="0" w:lineRule="atLeast"/>
              <w:jc w:val="center"/>
              <w:rPr>
                <w:rFonts w:ascii="仿宋" w:hAnsi="仿宋" w:eastAsia="仿宋" w:cs="仿宋"/>
                <w:kern w:val="0"/>
                <w:szCs w:val="21"/>
              </w:rPr>
            </w:pPr>
          </w:p>
          <w:p w14:paraId="2C7741AD">
            <w:pPr>
              <w:widowControl/>
              <w:spacing w:line="0" w:lineRule="atLeast"/>
              <w:jc w:val="center"/>
              <w:rPr>
                <w:rFonts w:ascii="仿宋" w:hAnsi="仿宋" w:eastAsia="仿宋" w:cs="仿宋"/>
                <w:kern w:val="0"/>
                <w:szCs w:val="21"/>
              </w:rPr>
            </w:pPr>
          </w:p>
          <w:p w14:paraId="761F45B6">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第</w:t>
            </w:r>
          </w:p>
          <w:p w14:paraId="28C25C57">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二</w:t>
            </w:r>
          </w:p>
          <w:p w14:paraId="435D4DF2">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天</w:t>
            </w:r>
          </w:p>
          <w:p w14:paraId="6D841CAC">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课</w:t>
            </w:r>
          </w:p>
          <w:p w14:paraId="004CD193">
            <w:pPr>
              <w:spacing w:line="0" w:lineRule="atLeast"/>
              <w:jc w:val="center"/>
              <w:rPr>
                <w:rFonts w:ascii="仿宋" w:hAnsi="仿宋" w:eastAsia="仿宋" w:cs="仿宋"/>
                <w:kern w:val="0"/>
                <w:szCs w:val="21"/>
              </w:rPr>
            </w:pPr>
            <w:r>
              <w:rPr>
                <w:rFonts w:hint="eastAsia" w:ascii="仿宋" w:hAnsi="仿宋" w:eastAsia="仿宋" w:cs="仿宋"/>
                <w:kern w:val="0"/>
                <w:szCs w:val="21"/>
              </w:rPr>
              <w:t>程</w:t>
            </w:r>
          </w:p>
        </w:tc>
        <w:tc>
          <w:tcPr>
            <w:tcW w:w="425" w:type="dxa"/>
            <w:vMerge w:val="continue"/>
            <w:shd w:val="clear" w:color="auto" w:fill="FFFFFF"/>
            <w:vAlign w:val="center"/>
          </w:tcPr>
          <w:p w14:paraId="1E1094D9">
            <w:pPr>
              <w:widowControl/>
              <w:spacing w:line="0" w:lineRule="atLeast"/>
              <w:jc w:val="left"/>
              <w:rPr>
                <w:rFonts w:ascii="仿宋" w:hAnsi="仿宋" w:eastAsia="仿宋" w:cs="仿宋"/>
                <w:kern w:val="0"/>
                <w:szCs w:val="21"/>
              </w:rPr>
            </w:pPr>
          </w:p>
        </w:tc>
      </w:tr>
      <w:tr w14:paraId="72CE6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jc w:val="center"/>
        </w:trPr>
        <w:tc>
          <w:tcPr>
            <w:tcW w:w="708" w:type="dxa"/>
            <w:vMerge w:val="continue"/>
            <w:shd w:val="clear" w:color="auto" w:fill="FFFFFF"/>
            <w:vAlign w:val="center"/>
          </w:tcPr>
          <w:p w14:paraId="78DB77B0">
            <w:pPr>
              <w:widowControl/>
              <w:spacing w:line="0" w:lineRule="atLeast"/>
              <w:jc w:val="left"/>
              <w:rPr>
                <w:rFonts w:ascii="仿宋" w:hAnsi="仿宋" w:eastAsia="仿宋" w:cs="仿宋"/>
                <w:kern w:val="0"/>
                <w:szCs w:val="21"/>
              </w:rPr>
            </w:pPr>
          </w:p>
        </w:tc>
        <w:tc>
          <w:tcPr>
            <w:tcW w:w="709" w:type="dxa"/>
            <w:vMerge w:val="continue"/>
            <w:shd w:val="clear" w:color="auto" w:fill="FFFFFF"/>
            <w:vAlign w:val="center"/>
          </w:tcPr>
          <w:p w14:paraId="168B9EBD">
            <w:pPr>
              <w:widowControl/>
              <w:spacing w:line="0" w:lineRule="atLeast"/>
              <w:jc w:val="left"/>
              <w:rPr>
                <w:rFonts w:ascii="仿宋" w:hAnsi="仿宋" w:eastAsia="仿宋" w:cs="仿宋"/>
                <w:kern w:val="0"/>
                <w:szCs w:val="21"/>
              </w:rPr>
            </w:pPr>
          </w:p>
        </w:tc>
        <w:tc>
          <w:tcPr>
            <w:tcW w:w="2552" w:type="dxa"/>
            <w:shd w:val="clear" w:color="auto" w:fill="FFFFFF"/>
            <w:tcMar>
              <w:top w:w="0" w:type="dxa"/>
              <w:left w:w="0" w:type="dxa"/>
              <w:bottom w:w="0" w:type="dxa"/>
              <w:right w:w="0" w:type="dxa"/>
            </w:tcMar>
            <w:vAlign w:val="center"/>
          </w:tcPr>
          <w:p w14:paraId="05557F9F">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估算方法及模型应用要点及优化策略</w:t>
            </w:r>
          </w:p>
        </w:tc>
        <w:tc>
          <w:tcPr>
            <w:tcW w:w="3969" w:type="dxa"/>
            <w:shd w:val="clear" w:color="auto" w:fill="FFFFFF"/>
            <w:tcMar>
              <w:top w:w="0" w:type="dxa"/>
              <w:left w:w="0" w:type="dxa"/>
              <w:bottom w:w="0" w:type="dxa"/>
              <w:right w:w="0" w:type="dxa"/>
            </w:tcMar>
            <w:vAlign w:val="center"/>
          </w:tcPr>
          <w:p w14:paraId="3C0DAAC3">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简单介绍估算方法及模型运用于企业时的要点及优化策略</w:t>
            </w:r>
          </w:p>
        </w:tc>
        <w:tc>
          <w:tcPr>
            <w:tcW w:w="421" w:type="dxa"/>
            <w:vMerge w:val="continue"/>
            <w:shd w:val="clear" w:color="auto" w:fill="FFFFFF"/>
            <w:tcMar>
              <w:top w:w="0" w:type="dxa"/>
              <w:left w:w="0" w:type="dxa"/>
              <w:bottom w:w="0" w:type="dxa"/>
              <w:right w:w="0" w:type="dxa"/>
            </w:tcMar>
            <w:vAlign w:val="center"/>
          </w:tcPr>
          <w:p w14:paraId="735CD6ED">
            <w:pPr>
              <w:widowControl/>
              <w:spacing w:line="0" w:lineRule="atLeast"/>
              <w:jc w:val="center"/>
              <w:rPr>
                <w:rFonts w:ascii="仿宋" w:hAnsi="仿宋" w:eastAsia="仿宋" w:cs="仿宋"/>
                <w:kern w:val="0"/>
                <w:szCs w:val="21"/>
              </w:rPr>
            </w:pPr>
          </w:p>
        </w:tc>
        <w:tc>
          <w:tcPr>
            <w:tcW w:w="425" w:type="dxa"/>
            <w:vMerge w:val="continue"/>
            <w:shd w:val="clear" w:color="auto" w:fill="FFFFFF"/>
            <w:vAlign w:val="center"/>
          </w:tcPr>
          <w:p w14:paraId="4BAE2501">
            <w:pPr>
              <w:widowControl/>
              <w:spacing w:line="0" w:lineRule="atLeast"/>
              <w:jc w:val="left"/>
              <w:rPr>
                <w:rFonts w:ascii="仿宋" w:hAnsi="仿宋" w:eastAsia="仿宋" w:cs="仿宋"/>
                <w:kern w:val="0"/>
                <w:szCs w:val="21"/>
              </w:rPr>
            </w:pPr>
          </w:p>
        </w:tc>
      </w:tr>
      <w:tr w14:paraId="4FE2D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jc w:val="center"/>
        </w:trPr>
        <w:tc>
          <w:tcPr>
            <w:tcW w:w="708" w:type="dxa"/>
            <w:vMerge w:val="continue"/>
            <w:shd w:val="clear" w:color="auto" w:fill="FFFFFF"/>
            <w:vAlign w:val="center"/>
          </w:tcPr>
          <w:p w14:paraId="7380B914">
            <w:pPr>
              <w:widowControl/>
              <w:spacing w:line="0" w:lineRule="atLeast"/>
              <w:jc w:val="left"/>
              <w:rPr>
                <w:rFonts w:ascii="仿宋" w:hAnsi="仿宋" w:eastAsia="仿宋" w:cs="仿宋"/>
                <w:kern w:val="0"/>
                <w:szCs w:val="21"/>
              </w:rPr>
            </w:pPr>
          </w:p>
        </w:tc>
        <w:tc>
          <w:tcPr>
            <w:tcW w:w="709" w:type="dxa"/>
            <w:vMerge w:val="continue"/>
            <w:shd w:val="clear" w:color="auto" w:fill="FFFFFF"/>
            <w:vAlign w:val="center"/>
          </w:tcPr>
          <w:p w14:paraId="2C492FF9">
            <w:pPr>
              <w:widowControl/>
              <w:spacing w:line="0" w:lineRule="atLeast"/>
              <w:jc w:val="left"/>
              <w:rPr>
                <w:rFonts w:ascii="仿宋" w:hAnsi="仿宋" w:eastAsia="仿宋" w:cs="仿宋"/>
                <w:kern w:val="0"/>
                <w:szCs w:val="21"/>
              </w:rPr>
            </w:pPr>
          </w:p>
        </w:tc>
        <w:tc>
          <w:tcPr>
            <w:tcW w:w="2552" w:type="dxa"/>
            <w:shd w:val="clear" w:color="auto" w:fill="FFFFFF"/>
            <w:tcMar>
              <w:top w:w="0" w:type="dxa"/>
              <w:left w:w="0" w:type="dxa"/>
              <w:bottom w:w="0" w:type="dxa"/>
              <w:right w:w="0" w:type="dxa"/>
            </w:tcMar>
            <w:vAlign w:val="center"/>
          </w:tcPr>
          <w:p w14:paraId="0EC2391A">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软件运维概述</w:t>
            </w:r>
          </w:p>
        </w:tc>
        <w:tc>
          <w:tcPr>
            <w:tcW w:w="3969" w:type="dxa"/>
            <w:shd w:val="clear" w:color="auto" w:fill="FFFFFF"/>
            <w:tcMar>
              <w:top w:w="0" w:type="dxa"/>
              <w:left w:w="0" w:type="dxa"/>
              <w:bottom w:w="0" w:type="dxa"/>
              <w:right w:w="0" w:type="dxa"/>
            </w:tcMar>
            <w:vAlign w:val="center"/>
          </w:tcPr>
          <w:p w14:paraId="4C156586">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软件运维相关基本概念、软件的分类、软件运维的主要活动</w:t>
            </w:r>
          </w:p>
        </w:tc>
        <w:tc>
          <w:tcPr>
            <w:tcW w:w="421" w:type="dxa"/>
            <w:vMerge w:val="continue"/>
            <w:shd w:val="clear" w:color="auto" w:fill="FFFFFF"/>
            <w:vAlign w:val="center"/>
          </w:tcPr>
          <w:p w14:paraId="6BE49FAB">
            <w:pPr>
              <w:widowControl/>
              <w:spacing w:line="0" w:lineRule="atLeast"/>
              <w:jc w:val="left"/>
              <w:rPr>
                <w:rFonts w:ascii="仿宋" w:hAnsi="仿宋" w:eastAsia="仿宋" w:cs="仿宋"/>
                <w:kern w:val="0"/>
                <w:szCs w:val="21"/>
              </w:rPr>
            </w:pPr>
          </w:p>
        </w:tc>
        <w:tc>
          <w:tcPr>
            <w:tcW w:w="425" w:type="dxa"/>
            <w:vMerge w:val="continue"/>
            <w:shd w:val="clear" w:color="auto" w:fill="FFFFFF"/>
            <w:vAlign w:val="center"/>
          </w:tcPr>
          <w:p w14:paraId="3CCE42BB">
            <w:pPr>
              <w:widowControl/>
              <w:spacing w:line="0" w:lineRule="atLeast"/>
              <w:jc w:val="left"/>
              <w:rPr>
                <w:rFonts w:ascii="仿宋" w:hAnsi="仿宋" w:eastAsia="仿宋" w:cs="仿宋"/>
                <w:kern w:val="0"/>
                <w:szCs w:val="21"/>
              </w:rPr>
            </w:pPr>
          </w:p>
        </w:tc>
      </w:tr>
      <w:tr w14:paraId="7EA5C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70" w:type="dxa"/>
            <w:left w:w="70" w:type="dxa"/>
            <w:bottom w:w="70" w:type="dxa"/>
            <w:right w:w="70" w:type="dxa"/>
          </w:tblCellMar>
        </w:tblPrEx>
        <w:trPr>
          <w:jc w:val="center"/>
        </w:trPr>
        <w:tc>
          <w:tcPr>
            <w:tcW w:w="708" w:type="dxa"/>
            <w:vMerge w:val="continue"/>
            <w:shd w:val="clear" w:color="auto" w:fill="FFFFFF"/>
            <w:vAlign w:val="center"/>
          </w:tcPr>
          <w:p w14:paraId="4B7BE19A">
            <w:pPr>
              <w:widowControl/>
              <w:spacing w:line="0" w:lineRule="atLeast"/>
              <w:jc w:val="left"/>
              <w:rPr>
                <w:rFonts w:ascii="仿宋" w:hAnsi="仿宋" w:eastAsia="仿宋" w:cs="仿宋"/>
                <w:kern w:val="0"/>
                <w:szCs w:val="21"/>
              </w:rPr>
            </w:pPr>
          </w:p>
        </w:tc>
        <w:tc>
          <w:tcPr>
            <w:tcW w:w="709" w:type="dxa"/>
            <w:vMerge w:val="continue"/>
            <w:shd w:val="clear" w:color="auto" w:fill="FFFFFF"/>
            <w:vAlign w:val="center"/>
          </w:tcPr>
          <w:p w14:paraId="6A8ABC04">
            <w:pPr>
              <w:widowControl/>
              <w:spacing w:line="0" w:lineRule="atLeast"/>
              <w:jc w:val="left"/>
              <w:rPr>
                <w:rFonts w:ascii="仿宋" w:hAnsi="仿宋" w:eastAsia="仿宋" w:cs="仿宋"/>
                <w:kern w:val="0"/>
                <w:szCs w:val="21"/>
              </w:rPr>
            </w:pPr>
          </w:p>
        </w:tc>
        <w:tc>
          <w:tcPr>
            <w:tcW w:w="2552" w:type="dxa"/>
            <w:shd w:val="clear" w:color="auto" w:fill="FFFFFF"/>
            <w:tcMar>
              <w:top w:w="0" w:type="dxa"/>
              <w:left w:w="0" w:type="dxa"/>
              <w:bottom w:w="0" w:type="dxa"/>
              <w:right w:w="0" w:type="dxa"/>
            </w:tcMar>
            <w:vAlign w:val="center"/>
          </w:tcPr>
          <w:p w14:paraId="675BD4F2">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软件运维规模估算</w:t>
            </w:r>
          </w:p>
        </w:tc>
        <w:tc>
          <w:tcPr>
            <w:tcW w:w="3969" w:type="dxa"/>
            <w:shd w:val="clear" w:color="auto" w:fill="FFFFFF"/>
            <w:tcMar>
              <w:top w:w="0" w:type="dxa"/>
              <w:left w:w="0" w:type="dxa"/>
              <w:bottom w:w="0" w:type="dxa"/>
              <w:right w:w="0" w:type="dxa"/>
            </w:tcMar>
            <w:vAlign w:val="center"/>
          </w:tcPr>
          <w:p w14:paraId="49052C8B">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不同类型软件运维规模估算的技术思路、基于国家标准的估算过程</w:t>
            </w:r>
          </w:p>
        </w:tc>
        <w:tc>
          <w:tcPr>
            <w:tcW w:w="421" w:type="dxa"/>
            <w:vMerge w:val="continue"/>
            <w:shd w:val="clear" w:color="auto" w:fill="FFFFFF"/>
            <w:vAlign w:val="center"/>
          </w:tcPr>
          <w:p w14:paraId="668AA829">
            <w:pPr>
              <w:widowControl/>
              <w:spacing w:line="0" w:lineRule="atLeast"/>
              <w:jc w:val="left"/>
              <w:rPr>
                <w:rFonts w:ascii="仿宋" w:hAnsi="仿宋" w:eastAsia="仿宋" w:cs="仿宋"/>
                <w:kern w:val="0"/>
                <w:szCs w:val="21"/>
              </w:rPr>
            </w:pPr>
          </w:p>
        </w:tc>
        <w:tc>
          <w:tcPr>
            <w:tcW w:w="425" w:type="dxa"/>
            <w:vMerge w:val="continue"/>
            <w:shd w:val="clear" w:color="auto" w:fill="FFFFFF"/>
            <w:vAlign w:val="center"/>
          </w:tcPr>
          <w:p w14:paraId="70621AA9">
            <w:pPr>
              <w:widowControl/>
              <w:spacing w:line="0" w:lineRule="atLeast"/>
              <w:jc w:val="left"/>
              <w:rPr>
                <w:rFonts w:ascii="仿宋" w:hAnsi="仿宋" w:eastAsia="仿宋" w:cs="仿宋"/>
                <w:kern w:val="0"/>
                <w:szCs w:val="21"/>
              </w:rPr>
            </w:pPr>
          </w:p>
        </w:tc>
      </w:tr>
      <w:tr w14:paraId="732A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jc w:val="center"/>
        </w:trPr>
        <w:tc>
          <w:tcPr>
            <w:tcW w:w="708" w:type="dxa"/>
            <w:vMerge w:val="continue"/>
            <w:shd w:val="clear" w:color="auto" w:fill="FFFFFF"/>
            <w:vAlign w:val="center"/>
          </w:tcPr>
          <w:p w14:paraId="3932A966">
            <w:pPr>
              <w:widowControl/>
              <w:spacing w:line="0" w:lineRule="atLeast"/>
              <w:jc w:val="left"/>
              <w:rPr>
                <w:rFonts w:ascii="仿宋" w:hAnsi="仿宋" w:eastAsia="仿宋" w:cs="仿宋"/>
                <w:kern w:val="0"/>
                <w:szCs w:val="21"/>
              </w:rPr>
            </w:pPr>
          </w:p>
        </w:tc>
        <w:tc>
          <w:tcPr>
            <w:tcW w:w="709" w:type="dxa"/>
            <w:vMerge w:val="continue"/>
            <w:shd w:val="clear" w:color="auto" w:fill="FFFFFF"/>
            <w:vAlign w:val="center"/>
          </w:tcPr>
          <w:p w14:paraId="67999348">
            <w:pPr>
              <w:widowControl/>
              <w:spacing w:line="0" w:lineRule="atLeast"/>
              <w:jc w:val="left"/>
              <w:rPr>
                <w:rFonts w:ascii="仿宋" w:hAnsi="仿宋" w:eastAsia="仿宋" w:cs="仿宋"/>
                <w:kern w:val="0"/>
                <w:szCs w:val="21"/>
              </w:rPr>
            </w:pPr>
          </w:p>
        </w:tc>
        <w:tc>
          <w:tcPr>
            <w:tcW w:w="2552" w:type="dxa"/>
            <w:shd w:val="clear" w:color="auto" w:fill="FFFFFF"/>
            <w:tcMar>
              <w:top w:w="0" w:type="dxa"/>
              <w:left w:w="0" w:type="dxa"/>
              <w:bottom w:w="0" w:type="dxa"/>
              <w:right w:w="0" w:type="dxa"/>
            </w:tcMar>
            <w:vAlign w:val="center"/>
          </w:tcPr>
          <w:p w14:paraId="09B41A36">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软件运维工作量、成本估算及实战演练</w:t>
            </w:r>
          </w:p>
        </w:tc>
        <w:tc>
          <w:tcPr>
            <w:tcW w:w="3969" w:type="dxa"/>
            <w:shd w:val="clear" w:color="auto" w:fill="FFFFFF"/>
            <w:tcMar>
              <w:top w:w="0" w:type="dxa"/>
              <w:left w:w="0" w:type="dxa"/>
              <w:bottom w:w="0" w:type="dxa"/>
              <w:right w:w="0" w:type="dxa"/>
            </w:tcMar>
            <w:vAlign w:val="center"/>
          </w:tcPr>
          <w:p w14:paraId="5D5E300E">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软件运维工作量估算调整因子、估算要点、基于功能点方法对给定需求进行软件运维规模、工作量及成本估算</w:t>
            </w:r>
          </w:p>
        </w:tc>
        <w:tc>
          <w:tcPr>
            <w:tcW w:w="421" w:type="dxa"/>
            <w:vMerge w:val="restart"/>
            <w:shd w:val="clear" w:color="auto" w:fill="FFFFFF"/>
            <w:tcMar>
              <w:top w:w="0" w:type="dxa"/>
              <w:left w:w="0" w:type="dxa"/>
              <w:bottom w:w="0" w:type="dxa"/>
              <w:right w:w="0" w:type="dxa"/>
            </w:tcMar>
            <w:vAlign w:val="center"/>
          </w:tcPr>
          <w:p w14:paraId="016669E6">
            <w:pPr>
              <w:widowControl/>
              <w:spacing w:line="0" w:lineRule="atLeast"/>
              <w:jc w:val="center"/>
              <w:rPr>
                <w:rFonts w:ascii="仿宋" w:hAnsi="仿宋" w:eastAsia="仿宋" w:cs="仿宋"/>
                <w:kern w:val="0"/>
                <w:szCs w:val="21"/>
              </w:rPr>
            </w:pPr>
          </w:p>
          <w:p w14:paraId="50F943BE">
            <w:pPr>
              <w:widowControl/>
              <w:spacing w:line="0" w:lineRule="atLeast"/>
              <w:jc w:val="center"/>
              <w:rPr>
                <w:rFonts w:ascii="仿宋" w:hAnsi="仿宋" w:eastAsia="仿宋" w:cs="仿宋"/>
                <w:kern w:val="0"/>
                <w:szCs w:val="21"/>
              </w:rPr>
            </w:pPr>
          </w:p>
          <w:p w14:paraId="05A8A9CB">
            <w:pPr>
              <w:widowControl/>
              <w:spacing w:line="0" w:lineRule="atLeast"/>
              <w:jc w:val="center"/>
              <w:rPr>
                <w:rFonts w:ascii="仿宋" w:hAnsi="仿宋" w:eastAsia="仿宋" w:cs="仿宋"/>
                <w:kern w:val="0"/>
                <w:szCs w:val="21"/>
              </w:rPr>
            </w:pPr>
          </w:p>
          <w:p w14:paraId="3286808D">
            <w:pPr>
              <w:widowControl/>
              <w:spacing w:line="0" w:lineRule="atLeast"/>
              <w:jc w:val="center"/>
              <w:rPr>
                <w:rFonts w:ascii="仿宋" w:hAnsi="仿宋" w:eastAsia="仿宋" w:cs="仿宋"/>
                <w:kern w:val="0"/>
                <w:szCs w:val="21"/>
              </w:rPr>
            </w:pPr>
          </w:p>
          <w:p w14:paraId="6CFE76B7">
            <w:pPr>
              <w:widowControl/>
              <w:spacing w:line="0" w:lineRule="atLeast"/>
              <w:jc w:val="center"/>
              <w:rPr>
                <w:rFonts w:ascii="仿宋" w:hAnsi="仿宋" w:eastAsia="仿宋" w:cs="仿宋"/>
                <w:kern w:val="0"/>
                <w:szCs w:val="21"/>
              </w:rPr>
            </w:pPr>
          </w:p>
          <w:p w14:paraId="791D2DFB">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第</w:t>
            </w:r>
          </w:p>
          <w:p w14:paraId="6F79FEC6">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三</w:t>
            </w:r>
          </w:p>
          <w:p w14:paraId="362FF73A">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天</w:t>
            </w:r>
          </w:p>
          <w:p w14:paraId="692C4B4D">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课</w:t>
            </w:r>
          </w:p>
          <w:p w14:paraId="6351C401">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程</w:t>
            </w:r>
          </w:p>
        </w:tc>
        <w:tc>
          <w:tcPr>
            <w:tcW w:w="425" w:type="dxa"/>
            <w:vMerge w:val="continue"/>
            <w:shd w:val="clear" w:color="auto" w:fill="FFFFFF"/>
            <w:vAlign w:val="center"/>
          </w:tcPr>
          <w:p w14:paraId="52D93DF1">
            <w:pPr>
              <w:widowControl/>
              <w:spacing w:line="0" w:lineRule="atLeast"/>
              <w:jc w:val="left"/>
              <w:rPr>
                <w:rFonts w:ascii="仿宋" w:hAnsi="仿宋" w:eastAsia="仿宋" w:cs="仿宋"/>
                <w:kern w:val="0"/>
                <w:szCs w:val="21"/>
              </w:rPr>
            </w:pPr>
          </w:p>
        </w:tc>
      </w:tr>
      <w:tr w14:paraId="66576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jc w:val="center"/>
        </w:trPr>
        <w:tc>
          <w:tcPr>
            <w:tcW w:w="708" w:type="dxa"/>
            <w:vMerge w:val="continue"/>
            <w:shd w:val="clear" w:color="auto" w:fill="FFFFFF"/>
            <w:vAlign w:val="center"/>
          </w:tcPr>
          <w:p w14:paraId="3476B37D">
            <w:pPr>
              <w:widowControl/>
              <w:spacing w:line="0" w:lineRule="atLeast"/>
              <w:jc w:val="left"/>
              <w:rPr>
                <w:rFonts w:ascii="仿宋" w:hAnsi="仿宋" w:eastAsia="仿宋" w:cs="仿宋"/>
                <w:kern w:val="0"/>
                <w:szCs w:val="21"/>
              </w:rPr>
            </w:pPr>
          </w:p>
        </w:tc>
        <w:tc>
          <w:tcPr>
            <w:tcW w:w="709" w:type="dxa"/>
            <w:vMerge w:val="continue"/>
            <w:shd w:val="clear" w:color="auto" w:fill="FFFFFF"/>
            <w:vAlign w:val="center"/>
          </w:tcPr>
          <w:p w14:paraId="48D09B0D">
            <w:pPr>
              <w:widowControl/>
              <w:spacing w:line="0" w:lineRule="atLeast"/>
              <w:jc w:val="left"/>
              <w:rPr>
                <w:rFonts w:ascii="仿宋" w:hAnsi="仿宋" w:eastAsia="仿宋" w:cs="仿宋"/>
                <w:kern w:val="0"/>
                <w:szCs w:val="21"/>
              </w:rPr>
            </w:pPr>
          </w:p>
        </w:tc>
        <w:tc>
          <w:tcPr>
            <w:tcW w:w="2552" w:type="dxa"/>
            <w:shd w:val="clear" w:color="auto" w:fill="FFFFFF"/>
            <w:tcMar>
              <w:top w:w="0" w:type="dxa"/>
              <w:left w:w="0" w:type="dxa"/>
              <w:bottom w:w="0" w:type="dxa"/>
              <w:right w:w="0" w:type="dxa"/>
            </w:tcMar>
            <w:vAlign w:val="center"/>
          </w:tcPr>
          <w:p w14:paraId="05D916FF">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软件需求的基本概念</w:t>
            </w:r>
          </w:p>
        </w:tc>
        <w:tc>
          <w:tcPr>
            <w:tcW w:w="3969" w:type="dxa"/>
            <w:shd w:val="clear" w:color="auto" w:fill="FFFFFF"/>
            <w:tcMar>
              <w:top w:w="0" w:type="dxa"/>
              <w:left w:w="0" w:type="dxa"/>
              <w:bottom w:w="0" w:type="dxa"/>
              <w:right w:w="0" w:type="dxa"/>
            </w:tcMar>
            <w:vAlign w:val="center"/>
          </w:tcPr>
          <w:p w14:paraId="7453DCDF">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软件需求与估算的关系</w:t>
            </w:r>
          </w:p>
        </w:tc>
        <w:tc>
          <w:tcPr>
            <w:tcW w:w="421" w:type="dxa"/>
            <w:vMerge w:val="continue"/>
            <w:shd w:val="clear" w:color="auto" w:fill="FFFFFF"/>
            <w:vAlign w:val="center"/>
          </w:tcPr>
          <w:p w14:paraId="504D459B">
            <w:pPr>
              <w:widowControl/>
              <w:spacing w:line="0" w:lineRule="atLeast"/>
              <w:jc w:val="left"/>
              <w:rPr>
                <w:rFonts w:ascii="仿宋" w:hAnsi="仿宋" w:eastAsia="仿宋" w:cs="仿宋"/>
                <w:kern w:val="0"/>
                <w:szCs w:val="21"/>
              </w:rPr>
            </w:pPr>
          </w:p>
        </w:tc>
        <w:tc>
          <w:tcPr>
            <w:tcW w:w="425" w:type="dxa"/>
            <w:vMerge w:val="continue"/>
            <w:shd w:val="clear" w:color="auto" w:fill="FFFFFF"/>
            <w:vAlign w:val="center"/>
          </w:tcPr>
          <w:p w14:paraId="3F74290B">
            <w:pPr>
              <w:widowControl/>
              <w:spacing w:line="0" w:lineRule="atLeast"/>
              <w:jc w:val="left"/>
              <w:rPr>
                <w:rFonts w:ascii="仿宋" w:hAnsi="仿宋" w:eastAsia="仿宋" w:cs="仿宋"/>
                <w:kern w:val="0"/>
                <w:szCs w:val="21"/>
              </w:rPr>
            </w:pPr>
          </w:p>
        </w:tc>
      </w:tr>
      <w:tr w14:paraId="4C82F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70" w:type="dxa"/>
            <w:left w:w="70" w:type="dxa"/>
            <w:bottom w:w="70" w:type="dxa"/>
            <w:right w:w="70" w:type="dxa"/>
          </w:tblCellMar>
        </w:tblPrEx>
        <w:trPr>
          <w:jc w:val="center"/>
        </w:trPr>
        <w:tc>
          <w:tcPr>
            <w:tcW w:w="708" w:type="dxa"/>
            <w:vMerge w:val="continue"/>
            <w:shd w:val="clear" w:color="auto" w:fill="FFFFFF"/>
            <w:vAlign w:val="center"/>
          </w:tcPr>
          <w:p w14:paraId="431A4806">
            <w:pPr>
              <w:widowControl/>
              <w:spacing w:line="0" w:lineRule="atLeast"/>
              <w:jc w:val="left"/>
              <w:rPr>
                <w:rFonts w:ascii="仿宋" w:hAnsi="仿宋" w:eastAsia="仿宋" w:cs="仿宋"/>
                <w:kern w:val="0"/>
                <w:szCs w:val="21"/>
              </w:rPr>
            </w:pPr>
          </w:p>
        </w:tc>
        <w:tc>
          <w:tcPr>
            <w:tcW w:w="709" w:type="dxa"/>
            <w:vMerge w:val="continue"/>
            <w:shd w:val="clear" w:color="auto" w:fill="FFFFFF"/>
            <w:vAlign w:val="center"/>
          </w:tcPr>
          <w:p w14:paraId="6249EFE2">
            <w:pPr>
              <w:widowControl/>
              <w:spacing w:line="0" w:lineRule="atLeast"/>
              <w:jc w:val="left"/>
              <w:rPr>
                <w:rFonts w:ascii="仿宋" w:hAnsi="仿宋" w:eastAsia="仿宋" w:cs="仿宋"/>
                <w:kern w:val="0"/>
                <w:szCs w:val="21"/>
              </w:rPr>
            </w:pPr>
          </w:p>
        </w:tc>
        <w:tc>
          <w:tcPr>
            <w:tcW w:w="2552" w:type="dxa"/>
            <w:shd w:val="clear" w:color="auto" w:fill="FFFFFF"/>
            <w:tcMar>
              <w:top w:w="0" w:type="dxa"/>
              <w:left w:w="0" w:type="dxa"/>
              <w:bottom w:w="0" w:type="dxa"/>
              <w:right w:w="0" w:type="dxa"/>
            </w:tcMar>
            <w:vAlign w:val="center"/>
          </w:tcPr>
          <w:p w14:paraId="4984ABE9">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需求开发及管理主要活动</w:t>
            </w:r>
          </w:p>
        </w:tc>
        <w:tc>
          <w:tcPr>
            <w:tcW w:w="3969" w:type="dxa"/>
            <w:shd w:val="clear" w:color="auto" w:fill="FFFFFF"/>
            <w:tcMar>
              <w:top w:w="0" w:type="dxa"/>
              <w:left w:w="0" w:type="dxa"/>
              <w:bottom w:w="0" w:type="dxa"/>
              <w:right w:w="0" w:type="dxa"/>
            </w:tcMar>
            <w:vAlign w:val="center"/>
          </w:tcPr>
          <w:p w14:paraId="01C3D853">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需求获取、需求分析、需求跟踪、需求度量等基本概念</w:t>
            </w:r>
          </w:p>
        </w:tc>
        <w:tc>
          <w:tcPr>
            <w:tcW w:w="421" w:type="dxa"/>
            <w:vMerge w:val="continue"/>
            <w:shd w:val="clear" w:color="auto" w:fill="FFFFFF"/>
            <w:vAlign w:val="center"/>
          </w:tcPr>
          <w:p w14:paraId="514E90FD">
            <w:pPr>
              <w:widowControl/>
              <w:spacing w:line="0" w:lineRule="atLeast"/>
              <w:jc w:val="left"/>
              <w:rPr>
                <w:rFonts w:ascii="仿宋" w:hAnsi="仿宋" w:eastAsia="仿宋" w:cs="仿宋"/>
                <w:kern w:val="0"/>
                <w:szCs w:val="21"/>
              </w:rPr>
            </w:pPr>
          </w:p>
        </w:tc>
        <w:tc>
          <w:tcPr>
            <w:tcW w:w="425" w:type="dxa"/>
            <w:vMerge w:val="continue"/>
            <w:shd w:val="clear" w:color="auto" w:fill="FFFFFF"/>
            <w:vAlign w:val="center"/>
          </w:tcPr>
          <w:p w14:paraId="4E1D1387">
            <w:pPr>
              <w:widowControl/>
              <w:spacing w:line="0" w:lineRule="atLeast"/>
              <w:jc w:val="left"/>
              <w:rPr>
                <w:rFonts w:ascii="仿宋" w:hAnsi="仿宋" w:eastAsia="仿宋" w:cs="仿宋"/>
                <w:kern w:val="0"/>
                <w:szCs w:val="21"/>
              </w:rPr>
            </w:pPr>
          </w:p>
        </w:tc>
      </w:tr>
      <w:tr w14:paraId="6F73D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jc w:val="center"/>
        </w:trPr>
        <w:tc>
          <w:tcPr>
            <w:tcW w:w="708" w:type="dxa"/>
            <w:vMerge w:val="continue"/>
            <w:shd w:val="clear" w:color="auto" w:fill="FFFFFF"/>
            <w:vAlign w:val="center"/>
          </w:tcPr>
          <w:p w14:paraId="571D093F">
            <w:pPr>
              <w:widowControl/>
              <w:spacing w:line="0" w:lineRule="atLeast"/>
              <w:jc w:val="left"/>
              <w:rPr>
                <w:rFonts w:ascii="仿宋" w:hAnsi="仿宋" w:eastAsia="仿宋" w:cs="仿宋"/>
                <w:kern w:val="0"/>
                <w:szCs w:val="21"/>
              </w:rPr>
            </w:pPr>
          </w:p>
        </w:tc>
        <w:tc>
          <w:tcPr>
            <w:tcW w:w="709" w:type="dxa"/>
            <w:vMerge w:val="continue"/>
            <w:shd w:val="clear" w:color="auto" w:fill="FFFFFF"/>
            <w:vAlign w:val="center"/>
          </w:tcPr>
          <w:p w14:paraId="0FF8AA2E">
            <w:pPr>
              <w:widowControl/>
              <w:spacing w:line="0" w:lineRule="atLeast"/>
              <w:jc w:val="left"/>
              <w:rPr>
                <w:rFonts w:ascii="仿宋" w:hAnsi="仿宋" w:eastAsia="仿宋" w:cs="仿宋"/>
                <w:kern w:val="0"/>
                <w:szCs w:val="21"/>
              </w:rPr>
            </w:pPr>
          </w:p>
        </w:tc>
        <w:tc>
          <w:tcPr>
            <w:tcW w:w="2552" w:type="dxa"/>
            <w:shd w:val="clear" w:color="auto" w:fill="FFFFFF"/>
            <w:tcMar>
              <w:top w:w="0" w:type="dxa"/>
              <w:left w:w="0" w:type="dxa"/>
              <w:bottom w:w="0" w:type="dxa"/>
              <w:right w:w="0" w:type="dxa"/>
            </w:tcMar>
            <w:vAlign w:val="center"/>
          </w:tcPr>
          <w:p w14:paraId="51A55697">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需求分析的主要原则</w:t>
            </w:r>
          </w:p>
        </w:tc>
        <w:tc>
          <w:tcPr>
            <w:tcW w:w="3969" w:type="dxa"/>
            <w:shd w:val="clear" w:color="auto" w:fill="FFFFFF"/>
            <w:tcMar>
              <w:top w:w="0" w:type="dxa"/>
              <w:left w:w="0" w:type="dxa"/>
              <w:bottom w:w="0" w:type="dxa"/>
              <w:right w:w="0" w:type="dxa"/>
            </w:tcMar>
            <w:vAlign w:val="center"/>
          </w:tcPr>
          <w:p w14:paraId="4EF7BB51">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需求分析的主要原则</w:t>
            </w:r>
          </w:p>
        </w:tc>
        <w:tc>
          <w:tcPr>
            <w:tcW w:w="421" w:type="dxa"/>
            <w:vMerge w:val="continue"/>
            <w:shd w:val="clear" w:color="auto" w:fill="FFFFFF"/>
            <w:vAlign w:val="center"/>
          </w:tcPr>
          <w:p w14:paraId="10D9F1D0">
            <w:pPr>
              <w:widowControl/>
              <w:spacing w:line="0" w:lineRule="atLeast"/>
              <w:jc w:val="left"/>
              <w:rPr>
                <w:rFonts w:ascii="仿宋" w:hAnsi="仿宋" w:eastAsia="仿宋" w:cs="仿宋"/>
                <w:kern w:val="0"/>
                <w:szCs w:val="21"/>
              </w:rPr>
            </w:pPr>
          </w:p>
        </w:tc>
        <w:tc>
          <w:tcPr>
            <w:tcW w:w="425" w:type="dxa"/>
            <w:vMerge w:val="continue"/>
            <w:shd w:val="clear" w:color="auto" w:fill="FFFFFF"/>
            <w:vAlign w:val="center"/>
          </w:tcPr>
          <w:p w14:paraId="141E74CF">
            <w:pPr>
              <w:widowControl/>
              <w:spacing w:line="0" w:lineRule="atLeast"/>
              <w:jc w:val="left"/>
              <w:rPr>
                <w:rFonts w:ascii="仿宋" w:hAnsi="仿宋" w:eastAsia="仿宋" w:cs="仿宋"/>
                <w:kern w:val="0"/>
                <w:szCs w:val="21"/>
              </w:rPr>
            </w:pPr>
          </w:p>
        </w:tc>
      </w:tr>
      <w:tr w14:paraId="3910B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jc w:val="center"/>
        </w:trPr>
        <w:tc>
          <w:tcPr>
            <w:tcW w:w="708" w:type="dxa"/>
            <w:vMerge w:val="continue"/>
            <w:shd w:val="clear" w:color="auto" w:fill="FFFFFF"/>
            <w:vAlign w:val="center"/>
          </w:tcPr>
          <w:p w14:paraId="4B1F27EF">
            <w:pPr>
              <w:widowControl/>
              <w:spacing w:line="0" w:lineRule="atLeast"/>
              <w:jc w:val="left"/>
              <w:rPr>
                <w:rFonts w:ascii="仿宋" w:hAnsi="仿宋" w:eastAsia="仿宋" w:cs="仿宋"/>
                <w:kern w:val="0"/>
                <w:szCs w:val="21"/>
              </w:rPr>
            </w:pPr>
          </w:p>
        </w:tc>
        <w:tc>
          <w:tcPr>
            <w:tcW w:w="709" w:type="dxa"/>
            <w:vMerge w:val="continue"/>
            <w:shd w:val="clear" w:color="auto" w:fill="FFFFFF"/>
            <w:vAlign w:val="center"/>
          </w:tcPr>
          <w:p w14:paraId="054BCFAC">
            <w:pPr>
              <w:widowControl/>
              <w:spacing w:line="0" w:lineRule="atLeast"/>
              <w:jc w:val="left"/>
              <w:rPr>
                <w:rFonts w:ascii="仿宋" w:hAnsi="仿宋" w:eastAsia="仿宋" w:cs="仿宋"/>
                <w:kern w:val="0"/>
                <w:szCs w:val="21"/>
              </w:rPr>
            </w:pPr>
          </w:p>
        </w:tc>
        <w:tc>
          <w:tcPr>
            <w:tcW w:w="2552" w:type="dxa"/>
            <w:shd w:val="clear" w:color="auto" w:fill="FFFFFF"/>
            <w:tcMar>
              <w:top w:w="0" w:type="dxa"/>
              <w:left w:w="0" w:type="dxa"/>
              <w:bottom w:w="0" w:type="dxa"/>
              <w:right w:w="0" w:type="dxa"/>
            </w:tcMar>
            <w:vAlign w:val="center"/>
          </w:tcPr>
          <w:p w14:paraId="486AB6C7">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主要知识点回顾</w:t>
            </w:r>
          </w:p>
        </w:tc>
        <w:tc>
          <w:tcPr>
            <w:tcW w:w="3969" w:type="dxa"/>
            <w:shd w:val="clear" w:color="auto" w:fill="FFFFFF"/>
            <w:tcMar>
              <w:top w:w="0" w:type="dxa"/>
              <w:left w:w="0" w:type="dxa"/>
              <w:bottom w:w="0" w:type="dxa"/>
              <w:right w:w="0" w:type="dxa"/>
            </w:tcMar>
            <w:vAlign w:val="center"/>
          </w:tcPr>
          <w:p w14:paraId="40F2BA19">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回顾培训课程主要内容及要点</w:t>
            </w:r>
          </w:p>
        </w:tc>
        <w:tc>
          <w:tcPr>
            <w:tcW w:w="421" w:type="dxa"/>
            <w:vMerge w:val="continue"/>
            <w:shd w:val="clear" w:color="auto" w:fill="FFFFFF"/>
            <w:vAlign w:val="center"/>
          </w:tcPr>
          <w:p w14:paraId="3ADA27B3">
            <w:pPr>
              <w:widowControl/>
              <w:spacing w:line="0" w:lineRule="atLeast"/>
              <w:jc w:val="left"/>
              <w:rPr>
                <w:rFonts w:ascii="仿宋" w:hAnsi="仿宋" w:eastAsia="仿宋" w:cs="仿宋"/>
                <w:kern w:val="0"/>
                <w:szCs w:val="21"/>
              </w:rPr>
            </w:pPr>
          </w:p>
        </w:tc>
        <w:tc>
          <w:tcPr>
            <w:tcW w:w="425" w:type="dxa"/>
            <w:vMerge w:val="continue"/>
            <w:shd w:val="clear" w:color="auto" w:fill="FFFFFF"/>
            <w:vAlign w:val="center"/>
          </w:tcPr>
          <w:p w14:paraId="5E31D6F7">
            <w:pPr>
              <w:widowControl/>
              <w:spacing w:line="0" w:lineRule="atLeast"/>
              <w:jc w:val="left"/>
              <w:rPr>
                <w:rFonts w:ascii="仿宋" w:hAnsi="仿宋" w:eastAsia="仿宋" w:cs="仿宋"/>
                <w:kern w:val="0"/>
                <w:szCs w:val="21"/>
              </w:rPr>
            </w:pPr>
          </w:p>
        </w:tc>
      </w:tr>
      <w:tr w14:paraId="05653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jc w:val="center"/>
        </w:trPr>
        <w:tc>
          <w:tcPr>
            <w:tcW w:w="708" w:type="dxa"/>
            <w:vMerge w:val="continue"/>
            <w:shd w:val="clear" w:color="auto" w:fill="FFFFFF"/>
            <w:vAlign w:val="center"/>
          </w:tcPr>
          <w:p w14:paraId="50AAF97D">
            <w:pPr>
              <w:widowControl/>
              <w:spacing w:line="0" w:lineRule="atLeast"/>
              <w:jc w:val="left"/>
              <w:rPr>
                <w:rFonts w:ascii="仿宋" w:hAnsi="仿宋" w:eastAsia="仿宋" w:cs="仿宋"/>
                <w:kern w:val="0"/>
                <w:szCs w:val="21"/>
              </w:rPr>
            </w:pPr>
          </w:p>
        </w:tc>
        <w:tc>
          <w:tcPr>
            <w:tcW w:w="709" w:type="dxa"/>
            <w:vMerge w:val="continue"/>
            <w:shd w:val="clear" w:color="auto" w:fill="FFFFFF"/>
            <w:vAlign w:val="center"/>
          </w:tcPr>
          <w:p w14:paraId="4A322081">
            <w:pPr>
              <w:widowControl/>
              <w:spacing w:line="0" w:lineRule="atLeast"/>
              <w:jc w:val="left"/>
              <w:rPr>
                <w:rFonts w:ascii="仿宋" w:hAnsi="仿宋" w:eastAsia="仿宋" w:cs="仿宋"/>
                <w:kern w:val="0"/>
                <w:szCs w:val="21"/>
              </w:rPr>
            </w:pPr>
          </w:p>
        </w:tc>
        <w:tc>
          <w:tcPr>
            <w:tcW w:w="2552" w:type="dxa"/>
            <w:shd w:val="clear" w:color="auto" w:fill="FFFFFF"/>
            <w:tcMar>
              <w:top w:w="0" w:type="dxa"/>
              <w:left w:w="0" w:type="dxa"/>
              <w:bottom w:w="0" w:type="dxa"/>
              <w:right w:w="0" w:type="dxa"/>
            </w:tcMar>
            <w:vAlign w:val="center"/>
          </w:tcPr>
          <w:p w14:paraId="0015C484">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考试</w:t>
            </w:r>
          </w:p>
        </w:tc>
        <w:tc>
          <w:tcPr>
            <w:tcW w:w="3969" w:type="dxa"/>
            <w:shd w:val="clear" w:color="auto" w:fill="FFFFFF"/>
            <w:tcMar>
              <w:top w:w="0" w:type="dxa"/>
              <w:left w:w="0" w:type="dxa"/>
              <w:bottom w:w="0" w:type="dxa"/>
              <w:right w:w="0" w:type="dxa"/>
            </w:tcMar>
            <w:vAlign w:val="center"/>
          </w:tcPr>
          <w:p w14:paraId="5E20B2A6">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考试要求讲解及线下考试</w:t>
            </w:r>
          </w:p>
        </w:tc>
        <w:tc>
          <w:tcPr>
            <w:tcW w:w="421" w:type="dxa"/>
            <w:vMerge w:val="continue"/>
            <w:shd w:val="clear" w:color="auto" w:fill="FFFFFF"/>
            <w:vAlign w:val="center"/>
          </w:tcPr>
          <w:p w14:paraId="27727B13">
            <w:pPr>
              <w:widowControl/>
              <w:spacing w:line="0" w:lineRule="atLeast"/>
              <w:jc w:val="left"/>
              <w:rPr>
                <w:rFonts w:ascii="仿宋" w:hAnsi="仿宋" w:eastAsia="仿宋" w:cs="仿宋"/>
                <w:kern w:val="0"/>
                <w:szCs w:val="21"/>
              </w:rPr>
            </w:pPr>
          </w:p>
        </w:tc>
        <w:tc>
          <w:tcPr>
            <w:tcW w:w="425" w:type="dxa"/>
            <w:vMerge w:val="continue"/>
            <w:shd w:val="clear" w:color="auto" w:fill="FFFFFF"/>
            <w:vAlign w:val="center"/>
          </w:tcPr>
          <w:p w14:paraId="6DE8572D">
            <w:pPr>
              <w:widowControl/>
              <w:spacing w:line="0" w:lineRule="atLeast"/>
              <w:jc w:val="left"/>
              <w:rPr>
                <w:rFonts w:ascii="仿宋" w:hAnsi="仿宋" w:eastAsia="仿宋" w:cs="仿宋"/>
                <w:kern w:val="0"/>
                <w:szCs w:val="21"/>
              </w:rPr>
            </w:pPr>
          </w:p>
        </w:tc>
      </w:tr>
      <w:tr w14:paraId="51EDD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jc w:val="center"/>
        </w:trPr>
        <w:tc>
          <w:tcPr>
            <w:tcW w:w="708" w:type="dxa"/>
            <w:shd w:val="clear" w:color="auto" w:fill="FFFFFF"/>
            <w:tcMar>
              <w:top w:w="0" w:type="dxa"/>
              <w:left w:w="0" w:type="dxa"/>
              <w:bottom w:w="0" w:type="dxa"/>
              <w:right w:w="0" w:type="dxa"/>
            </w:tcMar>
            <w:vAlign w:val="center"/>
          </w:tcPr>
          <w:p w14:paraId="176C3E8C">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售后服务</w:t>
            </w:r>
          </w:p>
        </w:tc>
        <w:tc>
          <w:tcPr>
            <w:tcW w:w="709" w:type="dxa"/>
            <w:shd w:val="clear" w:color="auto" w:fill="FFFFFF"/>
            <w:tcMar>
              <w:top w:w="0" w:type="dxa"/>
              <w:left w:w="0" w:type="dxa"/>
              <w:bottom w:w="0" w:type="dxa"/>
              <w:right w:w="0" w:type="dxa"/>
            </w:tcMar>
            <w:vAlign w:val="center"/>
          </w:tcPr>
          <w:p w14:paraId="2EA84798">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课后持续服务</w:t>
            </w:r>
          </w:p>
        </w:tc>
        <w:tc>
          <w:tcPr>
            <w:tcW w:w="2552" w:type="dxa"/>
            <w:shd w:val="clear" w:color="auto" w:fill="FFFFFF"/>
            <w:tcMar>
              <w:top w:w="0" w:type="dxa"/>
              <w:left w:w="0" w:type="dxa"/>
              <w:bottom w:w="0" w:type="dxa"/>
              <w:right w:w="0" w:type="dxa"/>
            </w:tcMar>
            <w:vAlign w:val="center"/>
          </w:tcPr>
          <w:p w14:paraId="08CF57AE">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针对学员在实际应用中遇到的问题给予持续解答</w:t>
            </w:r>
          </w:p>
        </w:tc>
        <w:tc>
          <w:tcPr>
            <w:tcW w:w="3969" w:type="dxa"/>
            <w:shd w:val="clear" w:color="auto" w:fill="FFFFFF"/>
            <w:tcMar>
              <w:top w:w="0" w:type="dxa"/>
              <w:left w:w="0" w:type="dxa"/>
              <w:bottom w:w="0" w:type="dxa"/>
              <w:right w:w="0" w:type="dxa"/>
            </w:tcMar>
            <w:vAlign w:val="center"/>
          </w:tcPr>
          <w:p w14:paraId="1563704D">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加入软件工程造价师学员群，安排专家负责答疑</w:t>
            </w:r>
          </w:p>
        </w:tc>
        <w:tc>
          <w:tcPr>
            <w:tcW w:w="846" w:type="dxa"/>
            <w:gridSpan w:val="2"/>
            <w:shd w:val="clear" w:color="auto" w:fill="FFFFFF"/>
            <w:tcMar>
              <w:top w:w="0" w:type="dxa"/>
              <w:left w:w="0" w:type="dxa"/>
              <w:bottom w:w="0" w:type="dxa"/>
              <w:right w:w="0" w:type="dxa"/>
            </w:tcMar>
            <w:vAlign w:val="center"/>
          </w:tcPr>
          <w:p w14:paraId="22D7F565">
            <w:pPr>
              <w:widowControl/>
              <w:spacing w:line="0" w:lineRule="atLeast"/>
              <w:jc w:val="center"/>
              <w:rPr>
                <w:rFonts w:ascii="仿宋" w:hAnsi="仿宋" w:eastAsia="仿宋" w:cs="仿宋"/>
                <w:kern w:val="0"/>
                <w:szCs w:val="21"/>
              </w:rPr>
            </w:pPr>
            <w:r>
              <w:rPr>
                <w:rFonts w:hint="eastAsia" w:ascii="仿宋" w:hAnsi="仿宋" w:eastAsia="仿宋" w:cs="仿宋"/>
                <w:kern w:val="0"/>
                <w:szCs w:val="21"/>
              </w:rPr>
              <w:t>线上答疑</w:t>
            </w:r>
          </w:p>
        </w:tc>
      </w:tr>
    </w:tbl>
    <w:p w14:paraId="2CA0BB94">
      <w:pPr>
        <w:widowControl/>
        <w:spacing w:line="0" w:lineRule="atLeast"/>
        <w:jc w:val="left"/>
      </w:pPr>
    </w:p>
    <w:p w14:paraId="06CAAE5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B830C23-814F-4448-A065-F9714D7024E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EAE3133B-D915-47E9-ABD5-085B45E2FCC7}"/>
  </w:font>
  <w:font w:name="仿宋">
    <w:panose1 w:val="02010609060101010101"/>
    <w:charset w:val="86"/>
    <w:family w:val="modern"/>
    <w:pitch w:val="default"/>
    <w:sig w:usb0="800002BF" w:usb1="38CF7CFA" w:usb2="00000016" w:usb3="00000000" w:csb0="00040001" w:csb1="00000000"/>
    <w:embedRegular r:id="rId3" w:fontKey="{46511BA1-F1AC-4ECA-8C84-EA2BD678480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74F1B9"/>
    <w:multiLevelType w:val="singleLevel"/>
    <w:tmpl w:val="5C74F1B9"/>
    <w:lvl w:ilvl="0" w:tentative="0">
      <w:start w:val="1"/>
      <w:numFmt w:val="chineseCounting"/>
      <w:suff w:val="nothing"/>
      <w:lvlText w:val="%1、"/>
      <w:lvlJc w:val="left"/>
      <w:pPr>
        <w:ind w:left="0" w:firstLine="420"/>
      </w:pPr>
      <w:rPr>
        <w:rFonts w:hint="eastAsia"/>
      </w:rPr>
    </w:lvl>
  </w:abstractNum>
  <w:abstractNum w:abstractNumId="1">
    <w:nsid w:val="5C74F223"/>
    <w:multiLevelType w:val="singleLevel"/>
    <w:tmpl w:val="5C74F223"/>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AE213C"/>
    <w:rsid w:val="45C56141"/>
    <w:rsid w:val="56A55C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1420</Words>
  <Characters>1515</Characters>
  <Lines>0</Lines>
  <Paragraphs>0</Paragraphs>
  <TotalTime>18</TotalTime>
  <ScaleCrop>false</ScaleCrop>
  <LinksUpToDate>false</LinksUpToDate>
  <CharactersWithSpaces>1562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2026-09-16T06:16:00Z</dcterms:created>
  <dc:creator>rx000026</dc:creator>
  <cp:lastModifiedBy>Lisa</cp:lastModifiedBy>
  <dcterms:modified xsi:type="dcterms:W3CDTF">2026-09-16T06:38:02Z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eyJoZGlkIjoiZjI1NjM4NWQxZTAzYzFiNDUyYTI1OWU2ODQyOGE0YmQiLCJ1c2VySWQiOiI3MDgwNTM2NTkifQ==</vt:lpwstr>
  </property>
  <property fmtid="{D5CDD505-2E9C-101B-9397-08002B2CF9AE}" pid="4" name="ICV">
    <vt:lpwstr>1718AD208BC344439B4C9063A0F6DEDC_12</vt:lpwstr>
  </property>
</Properties>
</file>